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023C6" w14:textId="77777777" w:rsidR="004C633B" w:rsidRDefault="004C633B" w:rsidP="004C633B">
      <w:pPr>
        <w:pStyle w:val="Heading1"/>
      </w:pPr>
      <w:bookmarkStart w:id="0" w:name="Xac50732bd30f1b1b5e65ee69e44801d62267717"/>
      <w:r>
        <w:t>Supplement III: Replicating analyses using published summary statistics</w:t>
      </w:r>
    </w:p>
    <w:p w14:paraId="57192FF4" w14:textId="77777777" w:rsidR="004C633B" w:rsidRDefault="004C633B" w:rsidP="004C633B">
      <w:pPr>
        <w:pStyle w:val="Heading2"/>
      </w:pPr>
      <w:bookmarkStart w:id="1" w:name="X6c6df2b97ae0b561c147836afeaca20143fc423"/>
      <w:r>
        <w:t>Rationale and definition of the benchmark score</w:t>
      </w:r>
    </w:p>
    <w:p w14:paraId="7C51995A" w14:textId="2771C924" w:rsidR="004C633B" w:rsidRDefault="004C633B" w:rsidP="004C633B">
      <w:pPr>
        <w:pStyle w:val="FirstParagraph"/>
      </w:pPr>
      <w:r>
        <w:t>To assess whether our conclusions depend on the proprietary score construction, we repeated all key analyses using an alternative polygenic score derived entirely from published GWAS summary statistics (hereafter, the Savage–LDpred2 score). It was constructed using summary statistics from the largest published GWAS of cognitive ability (Savage et al., 2018) combined with a custom GWAS of UK Biobank (UKB) fluid intelligence/VNR that explicitly excluded the UKB sibling validation sample (see Materials &amp; Methods: Comparative Baseline). The score was derived using the Bayesian shrinkage method LDpred2-auto.</w:t>
      </w:r>
    </w:p>
    <w:p w14:paraId="6174F93F" w14:textId="77777777" w:rsidR="004C633B" w:rsidRDefault="004C633B" w:rsidP="004C633B">
      <w:pPr>
        <w:pStyle w:val="BodyText"/>
      </w:pPr>
      <w:r>
        <w:t xml:space="preserve">The evaluation pipeline for this benchmark was identical to that of the primary predictor, using the same quality control, </w:t>
      </w:r>
      <w:proofErr w:type="spellStart"/>
      <w:r>
        <w:t>residualization</w:t>
      </w:r>
      <w:proofErr w:type="spellEnd"/>
      <w:r>
        <w:t>, standardization, within-family estimators, reliability correction, and SEM specifications.</w:t>
      </w:r>
    </w:p>
    <w:p w14:paraId="5F8AC0C6" w14:textId="77777777" w:rsidR="004C633B" w:rsidRDefault="004C633B" w:rsidP="004C633B">
      <w:pPr>
        <w:pStyle w:val="Heading2"/>
      </w:pPr>
      <w:bookmarkStart w:id="2" w:name="X3af9ea5988538c8b91ee87fb8026b9246e84aff"/>
      <w:bookmarkEnd w:id="1"/>
      <w:r>
        <w:t>Cognitive prediction: magnitude, within-family attenuation, and cross-cohort transfer</w:t>
      </w:r>
    </w:p>
    <w:p w14:paraId="6912526E" w14:textId="7C3FE1F7" w:rsidR="004C633B" w:rsidRDefault="004C633B" w:rsidP="004C633B">
      <w:pPr>
        <w:pStyle w:val="FirstParagraph"/>
      </w:pPr>
      <w:r>
        <w:t xml:space="preserve">Table S13 presents the head-to-head comparison on the latent </w:t>
      </w:r>
      <m:oMath>
        <m:r>
          <w:rPr>
            <w:rFonts w:ascii="Cambria Math" w:hAnsi="Cambria Math"/>
          </w:rPr>
          <m:t>g</m:t>
        </m:r>
      </m:oMath>
      <w:r>
        <w:t xml:space="preserve"> scale. In UKB siblings, the primary PGS shows stronger population (</w:t>
      </w:r>
      <m:oMath>
        <m:sSub>
          <m:sSubPr>
            <m:ctrlPr>
              <w:rPr>
                <w:rFonts w:ascii="Cambria Math" w:hAnsi="Cambria Math"/>
              </w:rPr>
            </m:ctrlPr>
          </m:sSubPr>
          <m:e>
            <m:r>
              <w:rPr>
                <w:rFonts w:ascii="Cambria Math" w:hAnsi="Cambria Math"/>
              </w:rPr>
              <m:t>β</m:t>
            </m:r>
          </m:e>
          <m:sub>
            <m:r>
              <w:rPr>
                <w:rFonts w:ascii="Cambria Math" w:hAnsi="Cambria Math"/>
              </w:rPr>
              <m:t>g</m:t>
            </m:r>
          </m:sub>
        </m:sSub>
        <m:r>
          <m:rPr>
            <m:sty m:val="p"/>
          </m:rPr>
          <w:rPr>
            <w:rFonts w:ascii="Cambria Math" w:hAnsi="Cambria Math"/>
          </w:rPr>
          <m:t>=</m:t>
        </m:r>
        <m:r>
          <w:rPr>
            <w:rFonts w:ascii="Cambria Math" w:hAnsi="Cambria Math"/>
          </w:rPr>
          <m:t>0.521</m:t>
        </m:r>
      </m:oMath>
      <w:r>
        <w:t xml:space="preserve">, SE 0.011 vs. </w:t>
      </w:r>
      <m:oMath>
        <m:r>
          <w:rPr>
            <w:rFonts w:ascii="Cambria Math" w:hAnsi="Cambria Math"/>
          </w:rPr>
          <m:t>0.431</m:t>
        </m:r>
      </m:oMath>
      <w:r>
        <w:t>, SE 0.013) and within-family (</w:t>
      </w:r>
      <m:oMath>
        <m:sSub>
          <m:sSubPr>
            <m:ctrlPr>
              <w:rPr>
                <w:rFonts w:ascii="Cambria Math" w:hAnsi="Cambria Math"/>
              </w:rPr>
            </m:ctrlPr>
          </m:sSubPr>
          <m:e>
            <m:r>
              <w:rPr>
                <w:rFonts w:ascii="Cambria Math" w:hAnsi="Cambria Math"/>
              </w:rPr>
              <m:t>δ</m:t>
            </m:r>
          </m:e>
          <m:sub>
            <m:r>
              <w:rPr>
                <w:rFonts w:ascii="Cambria Math" w:hAnsi="Cambria Math"/>
              </w:rPr>
              <m:t>g</m:t>
            </m:r>
          </m:sub>
        </m:sSub>
        <m:r>
          <m:rPr>
            <m:sty m:val="p"/>
          </m:rPr>
          <w:rPr>
            <w:rFonts w:ascii="Cambria Math" w:hAnsi="Cambria Math"/>
          </w:rPr>
          <m:t>=</m:t>
        </m:r>
        <m:r>
          <w:rPr>
            <w:rFonts w:ascii="Cambria Math" w:hAnsi="Cambria Math"/>
          </w:rPr>
          <m:t>0.456</m:t>
        </m:r>
      </m:oMath>
      <w:r>
        <w:t xml:space="preserve">, SE 0.024 vs. </w:t>
      </w:r>
      <m:oMath>
        <m:r>
          <w:rPr>
            <w:rFonts w:ascii="Cambria Math" w:hAnsi="Cambria Math"/>
          </w:rPr>
          <m:t>0.354</m:t>
        </m:r>
      </m:oMath>
      <w:r>
        <w:t xml:space="preserve">, SE 0.023) associations than the Savage–LDpred2 benchmark. On the residualized scale, these differences correspond to an approximately </w:t>
      </w:r>
      <m:oMath>
        <m:r>
          <w:rPr>
            <w:rFonts w:ascii="Cambria Math" w:hAnsi="Cambria Math"/>
          </w:rPr>
          <m:t>1.5</m:t>
        </m:r>
        <m:r>
          <m:rPr>
            <m:sty m:val="p"/>
          </m:rPr>
          <w:rPr>
            <w:rFonts w:ascii="Cambria Math" w:hAnsi="Cambria Math"/>
          </w:rPr>
          <m:t>×</m:t>
        </m:r>
      </m:oMath>
      <w:r>
        <w:t xml:space="preserve"> higher semipartial </w:t>
      </w:r>
      <m:oMath>
        <m:sSup>
          <m:sSupPr>
            <m:ctrlPr>
              <w:rPr>
                <w:rFonts w:ascii="Cambria Math" w:hAnsi="Cambria Math"/>
              </w:rPr>
            </m:ctrlPr>
          </m:sSupPr>
          <m:e>
            <m:r>
              <w:rPr>
                <w:rFonts w:ascii="Cambria Math" w:hAnsi="Cambria Math"/>
              </w:rPr>
              <m:t>R</m:t>
            </m:r>
          </m:e>
          <m:sup>
            <m:r>
              <w:rPr>
                <w:rFonts w:ascii="Cambria Math" w:hAnsi="Cambria Math"/>
              </w:rPr>
              <m:t>2</m:t>
            </m:r>
          </m:sup>
        </m:sSup>
      </m:oMath>
      <w:r>
        <w:t xml:space="preserve"> in the population model and </w:t>
      </w:r>
      <m:oMath>
        <m:r>
          <w:rPr>
            <w:rFonts w:ascii="Cambria Math" w:hAnsi="Cambria Math"/>
          </w:rPr>
          <m:t>1.7</m:t>
        </m:r>
        <m:r>
          <m:rPr>
            <m:sty m:val="p"/>
          </m:rPr>
          <w:rPr>
            <w:rFonts w:ascii="Cambria Math" w:hAnsi="Cambria Math"/>
          </w:rPr>
          <m:t>×</m:t>
        </m:r>
      </m:oMath>
      <w:r>
        <w:t xml:space="preserve"> higher semipartial </w:t>
      </w:r>
      <m:oMath>
        <m:sSup>
          <m:sSupPr>
            <m:ctrlPr>
              <w:rPr>
                <w:rFonts w:ascii="Cambria Math" w:hAnsi="Cambria Math"/>
              </w:rPr>
            </m:ctrlPr>
          </m:sSupPr>
          <m:e>
            <m:r>
              <w:rPr>
                <w:rFonts w:ascii="Cambria Math" w:hAnsi="Cambria Math"/>
              </w:rPr>
              <m:t>R</m:t>
            </m:r>
          </m:e>
          <m:sup>
            <m:r>
              <w:rPr>
                <w:rFonts w:ascii="Cambria Math" w:hAnsi="Cambria Math"/>
              </w:rPr>
              <m:t>2</m:t>
            </m:r>
          </m:sup>
        </m:sSup>
      </m:oMath>
      <w:r>
        <w:t xml:space="preserve"> within-family for the primary score.</w:t>
      </w:r>
      <w:r w:rsidR="00250712">
        <w:rPr>
          <w:rStyle w:val="FootnoteReference"/>
        </w:rPr>
        <w:footnoteReference w:id="1"/>
      </w:r>
    </w:p>
    <w:p w14:paraId="7EF13261" w14:textId="77777777" w:rsidR="004C633B" w:rsidRDefault="004C633B" w:rsidP="004C633B">
      <w:pPr>
        <w:pStyle w:val="BodyText"/>
      </w:pPr>
      <w:r>
        <w:lastRenderedPageBreak/>
        <w:t xml:space="preserve">This difference in predictive accuracy is more pronounced in the ABCD cohort (Table S13). The primary predictor yields a population coefficient of </w:t>
      </w:r>
      <m:oMath>
        <m:sSub>
          <m:sSubPr>
            <m:ctrlPr>
              <w:rPr>
                <w:rFonts w:ascii="Cambria Math" w:hAnsi="Cambria Math"/>
              </w:rPr>
            </m:ctrlPr>
          </m:sSubPr>
          <m:e>
            <m:r>
              <w:rPr>
                <w:rFonts w:ascii="Cambria Math" w:hAnsi="Cambria Math"/>
              </w:rPr>
              <m:t>β</m:t>
            </m:r>
          </m:e>
          <m:sub>
            <m:r>
              <w:rPr>
                <w:rFonts w:ascii="Cambria Math" w:hAnsi="Cambria Math"/>
              </w:rPr>
              <m:t>g</m:t>
            </m:r>
          </m:sub>
        </m:sSub>
        <m:r>
          <m:rPr>
            <m:sty m:val="p"/>
          </m:rPr>
          <w:rPr>
            <w:rFonts w:ascii="Cambria Math" w:hAnsi="Cambria Math"/>
          </w:rPr>
          <m:t>=</m:t>
        </m:r>
        <m:r>
          <w:rPr>
            <w:rFonts w:ascii="Cambria Math" w:hAnsi="Cambria Math"/>
          </w:rPr>
          <m:t>0.425</m:t>
        </m:r>
      </m:oMath>
      <w:r>
        <w:t xml:space="preserve"> (SE 0.026) compared to </w:t>
      </w:r>
      <m:oMath>
        <m:r>
          <w:rPr>
            <w:rFonts w:ascii="Cambria Math" w:hAnsi="Cambria Math"/>
          </w:rPr>
          <m:t>0.313</m:t>
        </m:r>
      </m:oMath>
      <w:r>
        <w:t xml:space="preserve"> (SE 0.029) for the benchmark. Within families, the primary predictor estimates are </w:t>
      </w:r>
      <m:oMath>
        <m:sSub>
          <m:sSubPr>
            <m:ctrlPr>
              <w:rPr>
                <w:rFonts w:ascii="Cambria Math" w:hAnsi="Cambria Math"/>
              </w:rPr>
            </m:ctrlPr>
          </m:sSubPr>
          <m:e>
            <m:r>
              <w:rPr>
                <w:rFonts w:ascii="Cambria Math" w:hAnsi="Cambria Math"/>
              </w:rPr>
              <m:t>δ</m:t>
            </m:r>
          </m:e>
          <m:sub>
            <m:r>
              <w:rPr>
                <w:rFonts w:ascii="Cambria Math" w:hAnsi="Cambria Math"/>
              </w:rPr>
              <m:t>g</m:t>
            </m:r>
          </m:sub>
        </m:sSub>
        <m:r>
          <m:rPr>
            <m:sty m:val="p"/>
          </m:rPr>
          <w:rPr>
            <w:rFonts w:ascii="Cambria Math" w:hAnsi="Cambria Math"/>
          </w:rPr>
          <m:t>=</m:t>
        </m:r>
        <m:r>
          <w:rPr>
            <w:rFonts w:ascii="Cambria Math" w:hAnsi="Cambria Math"/>
          </w:rPr>
          <m:t>0.408</m:t>
        </m:r>
      </m:oMath>
      <w:r>
        <w:t xml:space="preserve"> (SE 0.062) versus </w:t>
      </w:r>
      <m:oMath>
        <m:r>
          <w:rPr>
            <w:rFonts w:ascii="Cambria Math" w:hAnsi="Cambria Math"/>
          </w:rPr>
          <m:t>0.243</m:t>
        </m:r>
      </m:oMath>
      <w:r>
        <w:t xml:space="preserve"> (SE 0.045) for the benchmark.</w:t>
      </w:r>
    </w:p>
    <w:p w14:paraId="0626AD13" w14:textId="77777777" w:rsidR="004C633B" w:rsidRDefault="004C633B" w:rsidP="004C633B">
      <w:pPr>
        <w:pStyle w:val="BodyText"/>
      </w:pPr>
      <w:r>
        <w:t xml:space="preserve">Regarding within-family robustness, both predictors retain substantial power. In UKB, the attenuation ratios are similar: </w:t>
      </w:r>
      <m:oMath>
        <m:r>
          <w:rPr>
            <w:rFonts w:ascii="Cambria Math" w:hAnsi="Cambria Math"/>
          </w:rPr>
          <m:t>δ</m:t>
        </m:r>
        <m:r>
          <m:rPr>
            <m:sty m:val="p"/>
          </m:rPr>
          <w:rPr>
            <w:rFonts w:ascii="Cambria Math" w:hAnsi="Cambria Math"/>
          </w:rPr>
          <m:t>/</m:t>
        </m:r>
        <m:r>
          <w:rPr>
            <w:rFonts w:ascii="Cambria Math" w:hAnsi="Cambria Math"/>
          </w:rPr>
          <m:t>β</m:t>
        </m:r>
        <m:r>
          <m:rPr>
            <m:sty m:val="p"/>
          </m:rPr>
          <w:rPr>
            <w:rFonts w:ascii="Cambria Math" w:hAnsi="Cambria Math"/>
          </w:rPr>
          <m:t>=</m:t>
        </m:r>
        <m:r>
          <w:rPr>
            <w:rFonts w:ascii="Cambria Math" w:hAnsi="Cambria Math"/>
          </w:rPr>
          <m:t>0.876</m:t>
        </m:r>
      </m:oMath>
      <w:r>
        <w:t xml:space="preserve"> (SE 0.050) for the primary score and </w:t>
      </w:r>
      <m:oMath>
        <m:r>
          <w:rPr>
            <w:rFonts w:ascii="Cambria Math" w:hAnsi="Cambria Math"/>
          </w:rPr>
          <m:t>0.822</m:t>
        </m:r>
      </m:oMath>
      <w:r>
        <w:t xml:space="preserve"> (SE 0.050) for Savage–LDpred2. However, in ABCD, the primary score shows minimal attenuation (</w:t>
      </w:r>
      <m:oMath>
        <m:r>
          <w:rPr>
            <w:rFonts w:ascii="Cambria Math" w:hAnsi="Cambria Math"/>
          </w:rPr>
          <m:t>δ</m:t>
        </m:r>
        <m:r>
          <m:rPr>
            <m:sty m:val="p"/>
          </m:rPr>
          <w:rPr>
            <w:rFonts w:ascii="Cambria Math" w:hAnsi="Cambria Math"/>
          </w:rPr>
          <m:t>/</m:t>
        </m:r>
        <m:r>
          <w:rPr>
            <w:rFonts w:ascii="Cambria Math" w:hAnsi="Cambria Math"/>
          </w:rPr>
          <m:t>β</m:t>
        </m:r>
        <m:r>
          <m:rPr>
            <m:sty m:val="p"/>
          </m:rPr>
          <w:rPr>
            <w:rFonts w:ascii="Cambria Math" w:hAnsi="Cambria Math"/>
          </w:rPr>
          <m:t>=</m:t>
        </m:r>
        <m:r>
          <w:rPr>
            <w:rFonts w:ascii="Cambria Math" w:hAnsi="Cambria Math"/>
          </w:rPr>
          <m:t>0.959</m:t>
        </m:r>
      </m:oMath>
      <w:r>
        <w:t>, SE 0.134), whereas the Savage–LDpred2 score shows greater attenuation (</w:t>
      </w:r>
      <m:oMath>
        <m:r>
          <w:rPr>
            <w:rFonts w:ascii="Cambria Math" w:hAnsi="Cambria Math"/>
          </w:rPr>
          <m:t>δ</m:t>
        </m:r>
        <m:r>
          <m:rPr>
            <m:sty m:val="p"/>
          </m:rPr>
          <w:rPr>
            <w:rFonts w:ascii="Cambria Math" w:hAnsi="Cambria Math"/>
          </w:rPr>
          <m:t>/</m:t>
        </m:r>
        <m:r>
          <w:rPr>
            <w:rFonts w:ascii="Cambria Math" w:hAnsi="Cambria Math"/>
          </w:rPr>
          <m:t>β</m:t>
        </m:r>
        <m:r>
          <m:rPr>
            <m:sty m:val="p"/>
          </m:rPr>
          <w:rPr>
            <w:rFonts w:ascii="Cambria Math" w:hAnsi="Cambria Math"/>
          </w:rPr>
          <m:t>=</m:t>
        </m:r>
        <m:r>
          <w:rPr>
            <w:rFonts w:ascii="Cambria Math" w:hAnsi="Cambria Math"/>
          </w:rPr>
          <m:t>0.776</m:t>
        </m:r>
      </m:oMath>
      <w:r>
        <w:t>, SE 0.136). This pattern is consistent with the primary predictor tracking within-family variation more cleanly across cohorts, though several mechanisms (including, considering the standard errors, noise) could contribute to this difference.</w:t>
      </w:r>
    </w:p>
    <w:p w14:paraId="14CA72B8" w14:textId="77777777" w:rsidR="004C633B" w:rsidRDefault="004C633B" w:rsidP="004C633B">
      <w:pPr>
        <w:pStyle w:val="Heading2"/>
      </w:pPr>
      <w:bookmarkStart w:id="3" w:name="latent-sem-replication"/>
      <w:bookmarkEnd w:id="2"/>
      <w:r>
        <w:t>Latent SEM replication</w:t>
      </w:r>
    </w:p>
    <w:p w14:paraId="359FB4E4" w14:textId="77777777" w:rsidR="004C633B" w:rsidRDefault="004C633B" w:rsidP="004C633B">
      <w:pPr>
        <w:pStyle w:val="FirstParagraph"/>
      </w:pPr>
      <w:r>
        <w:t xml:space="preserve">We further assessed whether these patterns persist when modeling latent </w:t>
      </w:r>
      <m:oMath>
        <m:r>
          <w:rPr>
            <w:rFonts w:ascii="Cambria Math" w:hAnsi="Cambria Math"/>
          </w:rPr>
          <m:t>g</m:t>
        </m:r>
      </m:oMath>
      <w:r>
        <w:t xml:space="preserve"> directly, rather than relying on reliability corrections. As detailed in Table S14, the structural equation models yielded results consistent with the reliability-corrected estimates. In UKB, the standardized latent slopes for the primary predictor were </w:t>
      </w:r>
      <m:oMath>
        <m:sSub>
          <m:sSubPr>
            <m:ctrlPr>
              <w:rPr>
                <w:rFonts w:ascii="Cambria Math" w:hAnsi="Cambria Math"/>
              </w:rPr>
            </m:ctrlPr>
          </m:sSubPr>
          <m:e>
            <m:r>
              <w:rPr>
                <w:rFonts w:ascii="Cambria Math" w:hAnsi="Cambria Math"/>
              </w:rPr>
              <m:t>β</m:t>
            </m:r>
          </m:e>
          <m:sub>
            <m:r>
              <w:rPr>
                <w:rFonts w:ascii="Cambria Math" w:hAnsi="Cambria Math"/>
              </w:rPr>
              <m:t>gSEM</m:t>
            </m:r>
          </m:sub>
        </m:sSub>
        <m:r>
          <m:rPr>
            <m:sty m:val="p"/>
          </m:rPr>
          <w:rPr>
            <w:rFonts w:ascii="Cambria Math" w:hAnsi="Cambria Math"/>
          </w:rPr>
          <m:t>=</m:t>
        </m:r>
        <m:r>
          <w:rPr>
            <w:rFonts w:ascii="Cambria Math" w:hAnsi="Cambria Math"/>
          </w:rPr>
          <m:t>0.525</m:t>
        </m:r>
      </m:oMath>
      <w:r>
        <w:t xml:space="preserve"> (SE 0.008) and </w:t>
      </w:r>
      <m:oMath>
        <m:sSub>
          <m:sSubPr>
            <m:ctrlPr>
              <w:rPr>
                <w:rFonts w:ascii="Cambria Math" w:hAnsi="Cambria Math"/>
              </w:rPr>
            </m:ctrlPr>
          </m:sSubPr>
          <m:e>
            <m:r>
              <w:rPr>
                <w:rFonts w:ascii="Cambria Math" w:hAnsi="Cambria Math"/>
              </w:rPr>
              <m:t>δ</m:t>
            </m:r>
          </m:e>
          <m:sub>
            <m:r>
              <w:rPr>
                <w:rFonts w:ascii="Cambria Math" w:hAnsi="Cambria Math"/>
              </w:rPr>
              <m:t>gSEM</m:t>
            </m:r>
          </m:sub>
        </m:sSub>
        <m:r>
          <m:rPr>
            <m:sty m:val="p"/>
          </m:rPr>
          <w:rPr>
            <w:rFonts w:ascii="Cambria Math" w:hAnsi="Cambria Math"/>
          </w:rPr>
          <m:t>=</m:t>
        </m:r>
        <m:r>
          <w:rPr>
            <w:rFonts w:ascii="Cambria Math" w:hAnsi="Cambria Math"/>
          </w:rPr>
          <m:t>0.439</m:t>
        </m:r>
      </m:oMath>
      <w:r>
        <w:t xml:space="preserve"> (SE 0.018), compared to </w:t>
      </w:r>
      <m:oMath>
        <m:sSub>
          <m:sSubPr>
            <m:ctrlPr>
              <w:rPr>
                <w:rFonts w:ascii="Cambria Math" w:hAnsi="Cambria Math"/>
              </w:rPr>
            </m:ctrlPr>
          </m:sSubPr>
          <m:e>
            <m:r>
              <w:rPr>
                <w:rFonts w:ascii="Cambria Math" w:hAnsi="Cambria Math"/>
              </w:rPr>
              <m:t>β</m:t>
            </m:r>
          </m:e>
          <m:sub>
            <m:r>
              <w:rPr>
                <w:rFonts w:ascii="Cambria Math" w:hAnsi="Cambria Math"/>
              </w:rPr>
              <m:t>gSEM</m:t>
            </m:r>
          </m:sub>
        </m:sSub>
        <m:r>
          <m:rPr>
            <m:sty m:val="p"/>
          </m:rPr>
          <w:rPr>
            <w:rFonts w:ascii="Cambria Math" w:hAnsi="Cambria Math"/>
          </w:rPr>
          <m:t>=</m:t>
        </m:r>
        <m:r>
          <w:rPr>
            <w:rFonts w:ascii="Cambria Math" w:hAnsi="Cambria Math"/>
          </w:rPr>
          <m:t>0.459</m:t>
        </m:r>
      </m:oMath>
      <w:r>
        <w:t xml:space="preserve"> (SE 0.009) and </w:t>
      </w:r>
      <m:oMath>
        <m:sSub>
          <m:sSubPr>
            <m:ctrlPr>
              <w:rPr>
                <w:rFonts w:ascii="Cambria Math" w:hAnsi="Cambria Math"/>
              </w:rPr>
            </m:ctrlPr>
          </m:sSubPr>
          <m:e>
            <m:r>
              <w:rPr>
                <w:rFonts w:ascii="Cambria Math" w:hAnsi="Cambria Math"/>
              </w:rPr>
              <m:t>δ</m:t>
            </m:r>
          </m:e>
          <m:sub>
            <m:r>
              <w:rPr>
                <w:rFonts w:ascii="Cambria Math" w:hAnsi="Cambria Math"/>
              </w:rPr>
              <m:t>gSEM</m:t>
            </m:r>
          </m:sub>
        </m:sSub>
        <m:r>
          <m:rPr>
            <m:sty m:val="p"/>
          </m:rPr>
          <w:rPr>
            <w:rFonts w:ascii="Cambria Math" w:hAnsi="Cambria Math"/>
          </w:rPr>
          <m:t>=</m:t>
        </m:r>
        <m:r>
          <w:rPr>
            <w:rFonts w:ascii="Cambria Math" w:hAnsi="Cambria Math"/>
          </w:rPr>
          <m:t>0.365</m:t>
        </m:r>
      </m:oMath>
      <w:r>
        <w:t xml:space="preserve"> (SE 0.019) for the benchmark. In ABCD, the primary predictor similarly yielded stronger latent associations (</w:t>
      </w:r>
      <m:oMath>
        <m:sSub>
          <m:sSubPr>
            <m:ctrlPr>
              <w:rPr>
                <w:rFonts w:ascii="Cambria Math" w:hAnsi="Cambria Math"/>
              </w:rPr>
            </m:ctrlPr>
          </m:sSubPr>
          <m:e>
            <m:r>
              <w:rPr>
                <w:rFonts w:ascii="Cambria Math" w:hAnsi="Cambria Math"/>
              </w:rPr>
              <m:t>β</m:t>
            </m:r>
          </m:e>
          <m:sub>
            <m:r>
              <w:rPr>
                <w:rFonts w:ascii="Cambria Math" w:hAnsi="Cambria Math"/>
              </w:rPr>
              <m:t>gSEM</m:t>
            </m:r>
          </m:sub>
        </m:sSub>
        <m:r>
          <m:rPr>
            <m:sty m:val="p"/>
          </m:rPr>
          <w:rPr>
            <w:rFonts w:ascii="Cambria Math" w:hAnsi="Cambria Math"/>
          </w:rPr>
          <m:t>=</m:t>
        </m:r>
        <m:r>
          <w:rPr>
            <w:rFonts w:ascii="Cambria Math" w:hAnsi="Cambria Math"/>
          </w:rPr>
          <m:t>0.509</m:t>
        </m:r>
      </m:oMath>
      <w:r>
        <w:t xml:space="preserve">, SE 0.031; </w:t>
      </w:r>
      <m:oMath>
        <m:sSub>
          <m:sSubPr>
            <m:ctrlPr>
              <w:rPr>
                <w:rFonts w:ascii="Cambria Math" w:hAnsi="Cambria Math"/>
              </w:rPr>
            </m:ctrlPr>
          </m:sSubPr>
          <m:e>
            <m:r>
              <w:rPr>
                <w:rFonts w:ascii="Cambria Math" w:hAnsi="Cambria Math"/>
              </w:rPr>
              <m:t>δ</m:t>
            </m:r>
          </m:e>
          <m:sub>
            <m:r>
              <w:rPr>
                <w:rFonts w:ascii="Cambria Math" w:hAnsi="Cambria Math"/>
              </w:rPr>
              <m:t>gSEM</m:t>
            </m:r>
          </m:sub>
        </m:sSub>
        <m:r>
          <m:rPr>
            <m:sty m:val="p"/>
          </m:rPr>
          <w:rPr>
            <w:rFonts w:ascii="Cambria Math" w:hAnsi="Cambria Math"/>
          </w:rPr>
          <m:t>=</m:t>
        </m:r>
        <m:r>
          <w:rPr>
            <w:rFonts w:ascii="Cambria Math" w:hAnsi="Cambria Math"/>
          </w:rPr>
          <m:t>0.435</m:t>
        </m:r>
      </m:oMath>
      <w:r>
        <w:t>, SE 0.053) than the benchmark (</w:t>
      </w:r>
      <m:oMath>
        <m:sSub>
          <m:sSubPr>
            <m:ctrlPr>
              <w:rPr>
                <w:rFonts w:ascii="Cambria Math" w:hAnsi="Cambria Math"/>
              </w:rPr>
            </m:ctrlPr>
          </m:sSubPr>
          <m:e>
            <m:r>
              <w:rPr>
                <w:rFonts w:ascii="Cambria Math" w:hAnsi="Cambria Math"/>
              </w:rPr>
              <m:t>β</m:t>
            </m:r>
          </m:e>
          <m:sub>
            <m:r>
              <w:rPr>
                <w:rFonts w:ascii="Cambria Math" w:hAnsi="Cambria Math"/>
              </w:rPr>
              <m:t>gSEM</m:t>
            </m:r>
          </m:sub>
        </m:sSub>
        <m:r>
          <m:rPr>
            <m:sty m:val="p"/>
          </m:rPr>
          <w:rPr>
            <w:rFonts w:ascii="Cambria Math" w:hAnsi="Cambria Math"/>
          </w:rPr>
          <m:t>=</m:t>
        </m:r>
        <m:r>
          <w:rPr>
            <w:rFonts w:ascii="Cambria Math" w:hAnsi="Cambria Math"/>
          </w:rPr>
          <m:t>0.393</m:t>
        </m:r>
      </m:oMath>
      <w:r>
        <w:t xml:space="preserve">, SE 0.047; </w:t>
      </w:r>
      <m:oMath>
        <m:sSub>
          <m:sSubPr>
            <m:ctrlPr>
              <w:rPr>
                <w:rFonts w:ascii="Cambria Math" w:hAnsi="Cambria Math"/>
              </w:rPr>
            </m:ctrlPr>
          </m:sSubPr>
          <m:e>
            <m:r>
              <w:rPr>
                <w:rFonts w:ascii="Cambria Math" w:hAnsi="Cambria Math"/>
              </w:rPr>
              <m:t>δ</m:t>
            </m:r>
          </m:e>
          <m:sub>
            <m:r>
              <w:rPr>
                <w:rFonts w:ascii="Cambria Math" w:hAnsi="Cambria Math"/>
              </w:rPr>
              <m:t>gSEM</m:t>
            </m:r>
          </m:sub>
        </m:sSub>
        <m:r>
          <m:rPr>
            <m:sty m:val="p"/>
          </m:rPr>
          <w:rPr>
            <w:rFonts w:ascii="Cambria Math" w:hAnsi="Cambria Math"/>
          </w:rPr>
          <m:t>=</m:t>
        </m:r>
        <m:r>
          <w:rPr>
            <w:rFonts w:ascii="Cambria Math" w:hAnsi="Cambria Math"/>
          </w:rPr>
          <m:t>0.298</m:t>
        </m:r>
      </m:oMath>
      <w:r>
        <w:t>, SE 0.055). These results confirm that the performance difference between predictors is robust to the method of latent variable estimation.</w:t>
      </w:r>
    </w:p>
    <w:p w14:paraId="4AEB6392" w14:textId="77777777" w:rsidR="004C633B" w:rsidRDefault="004C633B" w:rsidP="004C633B">
      <w:pPr>
        <w:pStyle w:val="Heading2"/>
      </w:pPr>
      <w:bookmarkStart w:id="4" w:name="X00497aff0378ac2b6a707b345cc91288571a126"/>
      <w:bookmarkEnd w:id="3"/>
      <w:r>
        <w:t>Within-family associations with life outcomes</w:t>
      </w:r>
    </w:p>
    <w:p w14:paraId="4357C296" w14:textId="77777777" w:rsidR="004C633B" w:rsidRDefault="004C633B" w:rsidP="004C633B">
      <w:pPr>
        <w:pStyle w:val="FirstParagraph"/>
      </w:pPr>
      <w:r>
        <w:t xml:space="preserve">The pattern of within-family associations with life outcomes replicates across predictors (Table S15). Higher scores on both predictors were associated with increased educational attainment, occupational status, and family income within families, as well as higher friend satisfaction and emotional stability. However, effect </w:t>
      </w:r>
      <w:r>
        <w:lastRenderedPageBreak/>
        <w:t xml:space="preserve">estimates were consistently lower for the benchmark. For example, the within-family association with educational attainment was </w:t>
      </w:r>
      <m:oMath>
        <m:r>
          <w:rPr>
            <w:rFonts w:ascii="Cambria Math" w:hAnsi="Cambria Math"/>
          </w:rPr>
          <m:t>β</m:t>
        </m:r>
        <m:r>
          <m:rPr>
            <m:sty m:val="p"/>
          </m:rPr>
          <w:rPr>
            <w:rFonts w:ascii="Cambria Math" w:hAnsi="Cambria Math"/>
          </w:rPr>
          <m:t>=</m:t>
        </m:r>
        <m:r>
          <w:rPr>
            <w:rFonts w:ascii="Cambria Math" w:hAnsi="Cambria Math"/>
          </w:rPr>
          <m:t>0.154</m:t>
        </m:r>
      </m:oMath>
      <w:r>
        <w:t xml:space="preserve"> (SE 0.010) for the primary score compared to </w:t>
      </w:r>
      <m:oMath>
        <m:r>
          <w:rPr>
            <w:rFonts w:ascii="Cambria Math" w:hAnsi="Cambria Math"/>
          </w:rPr>
          <m:t>β</m:t>
        </m:r>
        <m:r>
          <m:rPr>
            <m:sty m:val="p"/>
          </m:rPr>
          <w:rPr>
            <w:rFonts w:ascii="Cambria Math" w:hAnsi="Cambria Math"/>
          </w:rPr>
          <m:t>=</m:t>
        </m:r>
        <m:r>
          <w:rPr>
            <w:rFonts w:ascii="Cambria Math" w:hAnsi="Cambria Math"/>
          </w:rPr>
          <m:t>0.100</m:t>
        </m:r>
      </m:oMath>
      <w:r>
        <w:t xml:space="preserve"> (SE 0.010) for Savage–LDpred2. Similarly, for occupational status, the coefficients were </w:t>
      </w:r>
      <m:oMath>
        <m:r>
          <w:rPr>
            <w:rFonts w:ascii="Cambria Math" w:hAnsi="Cambria Math"/>
          </w:rPr>
          <m:t>β</m:t>
        </m:r>
        <m:r>
          <m:rPr>
            <m:sty m:val="p"/>
          </m:rPr>
          <w:rPr>
            <w:rFonts w:ascii="Cambria Math" w:hAnsi="Cambria Math"/>
          </w:rPr>
          <m:t>=</m:t>
        </m:r>
        <m:r>
          <w:rPr>
            <w:rFonts w:ascii="Cambria Math" w:hAnsi="Cambria Math"/>
          </w:rPr>
          <m:t>0.157</m:t>
        </m:r>
      </m:oMath>
      <w:r>
        <w:t xml:space="preserve"> (SE 0.014) and </w:t>
      </w:r>
      <m:oMath>
        <m:r>
          <w:rPr>
            <w:rFonts w:ascii="Cambria Math" w:hAnsi="Cambria Math"/>
          </w:rPr>
          <m:t>β</m:t>
        </m:r>
        <m:r>
          <m:rPr>
            <m:sty m:val="p"/>
          </m:rPr>
          <w:rPr>
            <w:rFonts w:ascii="Cambria Math" w:hAnsi="Cambria Math"/>
          </w:rPr>
          <m:t>=</m:t>
        </m:r>
        <m:r>
          <w:rPr>
            <w:rFonts w:ascii="Cambria Math" w:hAnsi="Cambria Math"/>
          </w:rPr>
          <m:t>0.101</m:t>
        </m:r>
      </m:oMath>
      <w:r>
        <w:t xml:space="preserve"> (SE 0.013), respectively. Neither predictor showed statistically significant within-family associations with happiness, financial satisfaction, or work satisfaction in this sample.</w:t>
      </w:r>
    </w:p>
    <w:p w14:paraId="18D0D993" w14:textId="77777777" w:rsidR="004C633B" w:rsidRDefault="004C633B" w:rsidP="004C633B">
      <w:pPr>
        <w:pStyle w:val="Heading2"/>
      </w:pPr>
      <w:bookmarkStart w:id="5" w:name="disease-prediction-1"/>
      <w:bookmarkEnd w:id="4"/>
      <w:r>
        <w:t>Disease prediction</w:t>
      </w:r>
    </w:p>
    <w:p w14:paraId="1F379127" w14:textId="77777777" w:rsidR="004C633B" w:rsidRDefault="004C633B" w:rsidP="004C633B">
      <w:pPr>
        <w:pStyle w:val="FirstParagraph"/>
      </w:pPr>
      <w:r>
        <w:t xml:space="preserve">Using the SNIPAR framework, the Savage–LDpred2 benchmark replicates the direction of protective cardiometabolic associations observed for the primary score (Table S19). Direct genetic effects on coronary artery disease, hypertension, type 2 diabetes, and venous thromboembolism were negative for both predictors. For instance, the direct effect on hypertension was </w:t>
      </w:r>
      <m:oMath>
        <m:r>
          <w:rPr>
            <w:rFonts w:ascii="Cambria Math" w:hAnsi="Cambria Math"/>
          </w:rPr>
          <m:t>β</m:t>
        </m:r>
        <m:r>
          <m:rPr>
            <m:sty m:val="p"/>
          </m:rPr>
          <w:rPr>
            <w:rFonts w:ascii="Cambria Math" w:hAnsi="Cambria Math"/>
          </w:rPr>
          <m:t>=-</m:t>
        </m:r>
        <m:r>
          <w:rPr>
            <w:rFonts w:ascii="Cambria Math" w:hAnsi="Cambria Math"/>
          </w:rPr>
          <m:t>0.069</m:t>
        </m:r>
      </m:oMath>
      <w:r>
        <w:t xml:space="preserve"> (SE 0.013) for the primary score and </w:t>
      </w:r>
      <m:oMath>
        <m:r>
          <w:rPr>
            <w:rFonts w:ascii="Cambria Math" w:hAnsi="Cambria Math"/>
          </w:rPr>
          <m:t>β</m:t>
        </m:r>
        <m:r>
          <m:rPr>
            <m:sty m:val="p"/>
          </m:rPr>
          <w:rPr>
            <w:rFonts w:ascii="Cambria Math" w:hAnsi="Cambria Math"/>
          </w:rPr>
          <m:t>=-</m:t>
        </m:r>
        <m:r>
          <w:rPr>
            <w:rFonts w:ascii="Cambria Math" w:hAnsi="Cambria Math"/>
          </w:rPr>
          <m:t>0.041</m:t>
        </m:r>
      </m:oMath>
      <w:r>
        <w:t xml:space="preserve"> (SE 0.013) for the benchmark. Associations with immune, inflammatory, and cancer outcomes were generally small and non-significant for both predictors, consistent with limited statistical power in the sibling subsample, with the only significant outlier being melanoma.</w:t>
      </w:r>
    </w:p>
    <w:p w14:paraId="31C85A36" w14:textId="77777777" w:rsidR="004C633B" w:rsidRDefault="004C633B" w:rsidP="004C633B">
      <w:pPr>
        <w:pStyle w:val="Heading2"/>
      </w:pPr>
      <w:bookmarkStart w:id="6" w:name="portability-gtimese-and-pleiotropy"/>
      <w:bookmarkEnd w:id="5"/>
      <w:r>
        <w:t>Portability, G</w:t>
      </w:r>
      <m:oMath>
        <m:r>
          <m:rPr>
            <m:sty m:val="p"/>
          </m:rPr>
          <w:rPr>
            <w:rFonts w:ascii="Cambria Math" w:hAnsi="Cambria Math"/>
          </w:rPr>
          <m:t>×</m:t>
        </m:r>
      </m:oMath>
      <w:r>
        <w:t>E, and pleiotropy</w:t>
      </w:r>
    </w:p>
    <w:p w14:paraId="6E39A9AC" w14:textId="77777777" w:rsidR="004C633B" w:rsidRDefault="004C633B" w:rsidP="004C633B">
      <w:pPr>
        <w:pStyle w:val="FirstParagraph"/>
      </w:pPr>
      <w:r>
        <w:t>Estimates of cross-ancestry portability in ABCD were broadly similar between predictors (Table S16). Point estimates for the retention of predictive power in African American participants were 66% (95% CI: 52–80%) for the primary score and 51% (95% CI: 33–71%) for the benchmark, with overlapping confidence intervals. Both scores exhibited the expected decay in performance across diverse ancestry groups.</w:t>
      </w:r>
    </w:p>
    <w:p w14:paraId="352F2671" w14:textId="77777777" w:rsidR="004C633B" w:rsidRDefault="004C633B" w:rsidP="004C633B">
      <w:pPr>
        <w:pStyle w:val="BodyText"/>
      </w:pPr>
      <w:r>
        <w:t>Regarding gene-environment interactions, we found no evidence of significant interaction effects for either predictor. As shown in Table S17, interactions with family conflict, family income, and parental education were non-significant and close to zero for both the primary and benchmark scores.</w:t>
      </w:r>
    </w:p>
    <w:p w14:paraId="6CE299BC" w14:textId="77777777" w:rsidR="004C633B" w:rsidRDefault="004C633B" w:rsidP="004C633B">
      <w:pPr>
        <w:pStyle w:val="BodyText"/>
      </w:pPr>
      <w:r>
        <w:t>Finally, the pleiotropy scan (Table S18) indicated that the Savage–LDpred2 benchmark yields a profile directionally consistent with the primary score. Both predictors showed negative associations with ADHD symptoms and psychosis risk, and positive associations with self-regulation and positive feelings. The benchmark yielded fewer Bonferroni-significant associations, but importantly, neither predictor indicated large adverse pleiotropic effects.</w:t>
      </w:r>
    </w:p>
    <w:p w14:paraId="4C30B596" w14:textId="77777777" w:rsidR="004C633B" w:rsidRDefault="004C633B" w:rsidP="004C633B">
      <w:pPr>
        <w:pStyle w:val="Heading2"/>
      </w:pPr>
      <w:bookmarkStart w:id="7" w:name="summary"/>
      <w:bookmarkEnd w:id="6"/>
      <w:r>
        <w:t>Summary</w:t>
      </w:r>
    </w:p>
    <w:p w14:paraId="07BC35C3" w14:textId="3E2F839F" w:rsidR="004C633B" w:rsidRDefault="004C633B" w:rsidP="004C633B">
      <w:pPr>
        <w:pStyle w:val="FirstParagraph"/>
      </w:pPr>
      <w:r>
        <w:t>In sum, these analyses support two conclusions: (</w:t>
      </w:r>
      <w:proofErr w:type="spellStart"/>
      <w:r>
        <w:t>i</w:t>
      </w:r>
      <w:proofErr w:type="spellEnd"/>
      <w:r>
        <w:t>) the qualitative findings—substantial within-family prediction, beneficial associations with life outcomes, protective cardiometabolic effects, and absence of strong G</w:t>
      </w:r>
      <m:oMath>
        <m:r>
          <m:rPr>
            <m:sty m:val="p"/>
          </m:rPr>
          <w:rPr>
            <w:rFonts w:ascii="Cambria Math" w:hAnsi="Cambria Math"/>
          </w:rPr>
          <m:t>×</m:t>
        </m:r>
      </m:oMath>
      <w:r>
        <w:t>E—replicate using a reproducible benchmark (Tables S13–S18); (ii) the primary predictor achieves consistently stronger effect sizes, particularly for within-family and cross-cohort prediction (Tables S13, S14, S15).</w:t>
      </w:r>
      <w:bookmarkStart w:id="8" w:name="supplementary-tables"/>
      <w:bookmarkStart w:id="9" w:name="Xd6c9a350fed42c137632983142ef400648184ca"/>
      <w:bookmarkStart w:id="10" w:name="refs"/>
      <w:bookmarkEnd w:id="0"/>
      <w:bookmarkEnd w:id="7"/>
    </w:p>
    <w:bookmarkEnd w:id="8"/>
    <w:bookmarkEnd w:id="9"/>
    <w:bookmarkEnd w:id="10"/>
    <w:p w14:paraId="4BC55FB4" w14:textId="77777777" w:rsidR="00BE210D" w:rsidRDefault="00BE210D"/>
    <w:sectPr w:rsidR="00BE210D" w:rsidSect="004C633B">
      <w:footnotePr>
        <w:numStart w:val="14"/>
      </w:footnotePr>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0CB7DA" w14:textId="77777777" w:rsidR="00DA0C77" w:rsidRDefault="00DA0C77" w:rsidP="00250712">
      <w:pPr>
        <w:spacing w:after="0" w:line="240" w:lineRule="auto"/>
      </w:pPr>
      <w:r>
        <w:separator/>
      </w:r>
    </w:p>
  </w:endnote>
  <w:endnote w:type="continuationSeparator" w:id="0">
    <w:p w14:paraId="1682A761" w14:textId="77777777" w:rsidR="00DA0C77" w:rsidRDefault="00DA0C77" w:rsidP="002507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C58179" w14:textId="77777777" w:rsidR="00DA0C77" w:rsidRDefault="00DA0C77" w:rsidP="00250712">
      <w:pPr>
        <w:spacing w:after="0" w:line="240" w:lineRule="auto"/>
      </w:pPr>
      <w:r>
        <w:separator/>
      </w:r>
    </w:p>
  </w:footnote>
  <w:footnote w:type="continuationSeparator" w:id="0">
    <w:p w14:paraId="77C664C3" w14:textId="77777777" w:rsidR="00DA0C77" w:rsidRDefault="00DA0C77" w:rsidP="00250712">
      <w:pPr>
        <w:spacing w:after="0" w:line="240" w:lineRule="auto"/>
      </w:pPr>
      <w:r>
        <w:continuationSeparator/>
      </w:r>
    </w:p>
  </w:footnote>
  <w:footnote w:id="1">
    <w:p w14:paraId="39CCAAD4" w14:textId="497583E9" w:rsidR="00250712" w:rsidRPr="001F6B78" w:rsidRDefault="00250712">
      <w:pPr>
        <w:pStyle w:val="FootnoteText"/>
      </w:pPr>
      <w:r w:rsidRPr="001F6B78">
        <w:rPr>
          <w:rStyle w:val="FootnoteReference"/>
        </w:rPr>
        <w:footnoteRef/>
      </w:r>
      <w:r w:rsidRPr="001F6B78">
        <w:t xml:space="preserve"> </w:t>
      </w:r>
      <w:r w:rsidR="0066235B" w:rsidRPr="0066235B">
        <w:t>Leaving aside attenuation correction, the Savage–LDpred2 predictor’s raw performance on the fluid intelligence/VNR test is significantly higher than what the original analysis by Savage et al. reported in UK Biobank (</w:t>
      </w:r>
      <m:oMath>
        <m:r>
          <w:rPr>
            <w:rFonts w:ascii="Cambria Math" w:hAnsi="Cambria Math"/>
          </w:rPr>
          <m:t>β≈0.23</m:t>
        </m:r>
      </m:oMath>
      <w:r w:rsidR="0066235B" w:rsidRPr="0066235B">
        <w:t xml:space="preserve"> vs </w:t>
      </w:r>
      <m:oMath>
        <m:r>
          <w:rPr>
            <w:rFonts w:ascii="Cambria Math" w:hAnsi="Cambria Math"/>
          </w:rPr>
          <m:t>β≈0.33</m:t>
        </m:r>
      </m:oMath>
      <w:r w:rsidR="0066235B" w:rsidRPr="0066235B">
        <w:t>). However, both designs differ in important aspects. To clarify the source of the difference between the historical result and the updated benchmark used here, we sought to replicate the original validation design as closely as possible and systematically decompose the gap: This entailed removing the 53,576 respondents for whom only online fluid intelligence/VNR data was available, and using them in line with the original paper as a validation hold-out. Relying on the Savage et al.-reported clumping-and-thresholding threshold (</w:t>
      </w:r>
      <m:oMath>
        <m:r>
          <w:rPr>
            <w:rFonts w:ascii="Cambria Math" w:hAnsi="Cambria Math"/>
          </w:rPr>
          <m:t>P≤0.058</m:t>
        </m:r>
      </m:oMath>
      <w:r w:rsidR="0066235B" w:rsidRPr="0066235B">
        <w:t xml:space="preserve">), we recovered </w:t>
      </w:r>
      <m:oMath>
        <m:r>
          <w:rPr>
            <w:rFonts w:ascii="Cambria Math" w:hAnsi="Cambria Math"/>
          </w:rPr>
          <m:t>β=0.228</m:t>
        </m:r>
      </m:oMath>
      <w:r w:rsidR="0066235B" w:rsidRPr="0066235B">
        <w:t xml:space="preserve"> in the set of all online-only fluid intelligence/VNR respondents, essentially identical to the published result. Relative to this baseline, the increase in predictive performance reflects several cumulative differences. First, replacing the historical clumping-and-thresholding approach with LDpred2-auto increased prediction, raising the coefficient from </w:t>
      </w:r>
      <m:oMath>
        <m:r>
          <w:rPr>
            <w:rFonts w:ascii="Cambria Math" w:hAnsi="Cambria Math"/>
          </w:rPr>
          <m:t>β=0.228</m:t>
        </m:r>
      </m:oMath>
      <w:r w:rsidR="0066235B" w:rsidRPr="0066235B">
        <w:t xml:space="preserve"> to </w:t>
      </w:r>
      <m:oMath>
        <m:r>
          <w:rPr>
            <w:rFonts w:ascii="Cambria Math" w:hAnsi="Cambria Math"/>
          </w:rPr>
          <m:t>β=0.258</m:t>
        </m:r>
      </m:oMath>
      <w:r w:rsidR="0066235B" w:rsidRPr="0066235B">
        <w:t xml:space="preserve">. Second, because our primary validation design relies on an independent sibling holdout and the number of UKB participants with valid fluid intelligence/VNR increased since Savage et al. conducted their analysis, the excluded 53,576 online fluid intelligence/VNR UKB participants could be re-added to the discovery. Using this full sample raised the coefficient further to </w:t>
      </w:r>
      <m:oMath>
        <m:r>
          <w:rPr>
            <w:rFonts w:ascii="Cambria Math" w:hAnsi="Cambria Math"/>
          </w:rPr>
          <m:t>β=0.270</m:t>
        </m:r>
      </m:oMath>
      <w:r w:rsidR="0066235B" w:rsidRPr="0066235B">
        <w:t xml:space="preserve">, when validated in the subsample of participants who only took part in the online fluid intelligence/VNR test and that were not available in 2018. These first two components show that part of the gap reflects methodological progress in score construction, namely a modern Bayesian method and a somewhat larger matched discovery sample. The remaining uplift arises from the validation setting rather than from discovery alone. Under the full benchmark, the clean remaining-online holdout yielded </w:t>
      </w:r>
      <m:oMath>
        <m:r>
          <w:rPr>
            <w:rFonts w:ascii="Cambria Math" w:hAnsi="Cambria Math"/>
          </w:rPr>
          <m:t>β=0.239</m:t>
        </m:r>
      </m:oMath>
      <w:r w:rsidR="0066235B" w:rsidRPr="0066235B">
        <w:t xml:space="preserve"> for C+T and, as mentioned above, </w:t>
      </w:r>
      <m:oMath>
        <m:r>
          <w:rPr>
            <w:rFonts w:ascii="Cambria Math" w:hAnsi="Cambria Math"/>
          </w:rPr>
          <m:t>β=0.270</m:t>
        </m:r>
      </m:oMath>
      <w:r w:rsidR="0066235B" w:rsidRPr="0066235B">
        <w:t xml:space="preserve"> for LDpred2-auto. When the same scores were evaluated in the UKB sibling sample on the online phenotype, these coefficients increase to </w:t>
      </w:r>
      <m:oMath>
        <m:r>
          <w:rPr>
            <w:rFonts w:ascii="Cambria Math" w:hAnsi="Cambria Math"/>
          </w:rPr>
          <m:t>β=0.257</m:t>
        </m:r>
      </m:oMath>
      <w:r w:rsidR="0066235B" w:rsidRPr="0066235B">
        <w:t xml:space="preserve"> and </w:t>
      </w:r>
      <m:oMath>
        <m:r>
          <w:rPr>
            <w:rFonts w:ascii="Cambria Math" w:hAnsi="Cambria Math"/>
          </w:rPr>
          <m:t>β=0.292</m:t>
        </m:r>
      </m:oMath>
      <w:r w:rsidR="0066235B" w:rsidRPr="0066235B">
        <w:t>, respectively. However, partitioning the sibling sample showed that this was not primarily a sibling effect: siblings with only the online phenotype perform similarly to the clean online holdout (</w:t>
      </w:r>
      <m:oMath>
        <m:r>
          <w:rPr>
            <w:rFonts w:ascii="Cambria Math" w:hAnsi="Cambria Math"/>
          </w:rPr>
          <m:t>β=0.241</m:t>
        </m:r>
      </m:oMath>
      <w:r w:rsidR="0066235B" w:rsidRPr="0066235B">
        <w:t xml:space="preserve"> for C+T</w:t>
      </w:r>
      <w:r w:rsidR="009E21BD">
        <w:t>,</w:t>
      </w:r>
      <w:r w:rsidR="0066235B" w:rsidRPr="0066235B">
        <w:t xml:space="preserve"> </w:t>
      </w:r>
      <m:oMath>
        <m:r>
          <w:rPr>
            <w:rFonts w:ascii="Cambria Math" w:hAnsi="Cambria Math"/>
          </w:rPr>
          <m:t>β=0.278</m:t>
        </m:r>
      </m:oMath>
      <w:r w:rsidR="0066235B" w:rsidRPr="0066235B">
        <w:t xml:space="preserve"> for LDpred2-auto), whereas the larger coefficients were concentrated in the subgroup that completed both the online and offline cognitive assessments (</w:t>
      </w:r>
      <m:oMath>
        <m:r>
          <w:rPr>
            <w:rFonts w:ascii="Cambria Math" w:hAnsi="Cambria Math"/>
          </w:rPr>
          <m:t>β=0.271</m:t>
        </m:r>
      </m:oMath>
      <w:r w:rsidR="0066235B" w:rsidRPr="0066235B">
        <w:t xml:space="preserve"> for C+T;</w:t>
      </w:r>
      <m:oMath>
        <m:r>
          <w:rPr>
            <w:rFonts w:ascii="Cambria Math" w:hAnsi="Cambria Math"/>
          </w:rPr>
          <m:t xml:space="preserve"> β=0.304</m:t>
        </m:r>
      </m:oMath>
      <w:r w:rsidR="0066235B" w:rsidRPr="0066235B">
        <w:t xml:space="preserve"> for LDpred2-auto). The apparent sibling uplift therefore reflects enrichment for a more intensively phenotyped subgroup rather than sibling status per se. Validation on the offline VNR phenotype increased prediction further. Under the full benchmark, the observed population coefficient for LDpred2-auto rises from </w:t>
      </w:r>
      <m:oMath>
        <m:r>
          <w:rPr>
            <w:rFonts w:ascii="Cambria Math" w:hAnsi="Cambria Math"/>
          </w:rPr>
          <m:t>β=0.292</m:t>
        </m:r>
      </m:oMath>
      <w:r w:rsidR="0066235B" w:rsidRPr="0066235B">
        <w:t xml:space="preserve"> in all sibling-family members evaluated on the online phenotype to </w:t>
      </w:r>
      <m:oMath>
        <m:r>
          <w:rPr>
            <w:rFonts w:ascii="Cambria Math" w:hAnsi="Cambria Math"/>
          </w:rPr>
          <m:t>β=0.318</m:t>
        </m:r>
      </m:oMath>
      <w:r w:rsidR="0066235B" w:rsidRPr="0066235B">
        <w:t xml:space="preserve"> in sibling individuals with the offline phenotype available, and to </w:t>
      </w:r>
      <m:oMath>
        <m:r>
          <w:rPr>
            <w:rFonts w:ascii="Cambria Math" w:hAnsi="Cambria Math"/>
          </w:rPr>
          <m:t>β=0.33</m:t>
        </m:r>
      </m:oMath>
      <w:r w:rsidR="0066235B" w:rsidRPr="0066235B">
        <w:t xml:space="preserve"> in complete sibling pairs. The corresponding C+T coefficients show the same pattern (</w:t>
      </w:r>
      <m:oMath>
        <m:r>
          <w:rPr>
            <w:rFonts w:ascii="Cambria Math" w:hAnsi="Cambria Math"/>
          </w:rPr>
          <m:t>β=0.257, 0.284</m:t>
        </m:r>
      </m:oMath>
      <w:r w:rsidR="0066235B" w:rsidRPr="0066235B">
        <w:t xml:space="preserve">, and </w:t>
      </w:r>
      <m:oMath>
        <m:r>
          <w:rPr>
            <w:rFonts w:ascii="Cambria Math" w:hAnsi="Cambria Math"/>
          </w:rPr>
          <m:t>0.295</m:t>
        </m:r>
      </m:oMath>
      <w:r w:rsidR="0066235B" w:rsidRPr="0066235B">
        <w:t>, respectively). This is consistent with the reliability-aware framework of the paper, since the online UKB cognitive assessment is less reliable than the offline VNR measure (</w:t>
      </w:r>
      <m:oMath>
        <m:r>
          <w:rPr>
            <w:rFonts w:ascii="Cambria Math" w:hAnsi="Cambria Math"/>
          </w:rPr>
          <m:t>ρ=0.555</m:t>
        </m:r>
      </m:oMath>
      <w:r w:rsidR="0066235B" w:rsidRPr="0066235B">
        <w:t xml:space="preserve"> when test–retest estimated in UKB, versus </w:t>
      </w:r>
      <m:oMath>
        <m:r>
          <w:rPr>
            <w:rFonts w:ascii="Cambria Math" w:hAnsi="Cambria Math"/>
          </w:rPr>
          <m:t xml:space="preserve">ρ=0.607 </m:t>
        </m:r>
      </m:oMath>
      <w:r w:rsidR="0066235B" w:rsidRPr="0066235B">
        <w:t xml:space="preserve">from the published UKB test–retest estimate for VNR). Given the attenuation correction used throughout the manuscript, </w:t>
      </w:r>
      <m:oMath>
        <m:sSub>
          <m:sSubPr>
            <m:ctrlPr>
              <w:rPr>
                <w:rFonts w:ascii="Cambria Math" w:hAnsi="Cambria Math"/>
                <w:i/>
              </w:rPr>
            </m:ctrlPr>
          </m:sSubPr>
          <m:e>
            <m:r>
              <w:rPr>
                <w:rFonts w:ascii="Cambria Math" w:hAnsi="Cambria Math"/>
              </w:rPr>
              <m:t>β</m:t>
            </m:r>
          </m:e>
          <m:sub>
            <m:r>
              <w:rPr>
                <w:rFonts w:ascii="Cambria Math" w:hAnsi="Cambria Math"/>
              </w:rPr>
              <m:t>g</m:t>
            </m:r>
          </m:sub>
        </m:sSub>
        <m:r>
          <w:rPr>
            <w:rFonts w:ascii="Cambria Math" w:hAnsi="Cambria Math"/>
          </w:rPr>
          <m:t>=β/√ρ</m:t>
        </m:r>
      </m:oMath>
      <w:r w:rsidR="0066235B" w:rsidRPr="0066235B">
        <w:t>, part of the observed online–offline increase is therefore expected psychometric attenuation rather than a substantive increase in genetic signal. Taken together, the updated UKB benchmark should be interpreted not simply as a restatement of the original Savage et al. value, but as a strengthened contemporary comparator. Its higher predictive performance reflects cumulative gains from improved score construction, a somewhat larger discovery meta-analysis and validation on a more reliable phenotype. This makes the comparison to the primary predictor more stringent: the relevant question is not whether the primary predictor exceeds the historical 2018 implementation in its original form, but whether it continues to outperform an updated benchmark constructed from the same Savage-based foundation under a more informative design.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hyphenationZone w:val="425"/>
  <w:characterSpacingControl w:val="doNotCompress"/>
  <w:footnotePr>
    <w:numStart w:val="14"/>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33B"/>
    <w:rsid w:val="00041A10"/>
    <w:rsid w:val="001F6B78"/>
    <w:rsid w:val="00250712"/>
    <w:rsid w:val="002671DA"/>
    <w:rsid w:val="004C633B"/>
    <w:rsid w:val="00520532"/>
    <w:rsid w:val="00542D4B"/>
    <w:rsid w:val="0066235B"/>
    <w:rsid w:val="00692DEA"/>
    <w:rsid w:val="00727AD6"/>
    <w:rsid w:val="007634AC"/>
    <w:rsid w:val="00786F29"/>
    <w:rsid w:val="00791549"/>
    <w:rsid w:val="00955D71"/>
    <w:rsid w:val="009E21BD"/>
    <w:rsid w:val="00A24CE6"/>
    <w:rsid w:val="00A838F8"/>
    <w:rsid w:val="00B56748"/>
    <w:rsid w:val="00BE210D"/>
    <w:rsid w:val="00C43A57"/>
    <w:rsid w:val="00D3760B"/>
    <w:rsid w:val="00DA0C77"/>
    <w:rsid w:val="00E01766"/>
    <w:rsid w:val="00E6514D"/>
    <w:rsid w:val="00EC5E93"/>
    <w:rsid w:val="00F34155"/>
    <w:rsid w:val="00FC7E12"/>
    <w:rsid w:val="00FF16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C8598"/>
  <w15:chartTrackingRefBased/>
  <w15:docId w15:val="{3DBEE3D1-7AD2-D847-93DF-C87893B89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63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C63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63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63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63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63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63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63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63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63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C63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63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63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63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63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63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63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633B"/>
    <w:rPr>
      <w:rFonts w:eastAsiaTheme="majorEastAsia" w:cstheme="majorBidi"/>
      <w:color w:val="272727" w:themeColor="text1" w:themeTint="D8"/>
    </w:rPr>
  </w:style>
  <w:style w:type="paragraph" w:styleId="Title">
    <w:name w:val="Title"/>
    <w:basedOn w:val="Normal"/>
    <w:next w:val="Normal"/>
    <w:link w:val="TitleChar"/>
    <w:uiPriority w:val="10"/>
    <w:qFormat/>
    <w:rsid w:val="004C63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63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63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63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633B"/>
    <w:pPr>
      <w:spacing w:before="160"/>
      <w:jc w:val="center"/>
    </w:pPr>
    <w:rPr>
      <w:i/>
      <w:iCs/>
      <w:color w:val="404040" w:themeColor="text1" w:themeTint="BF"/>
    </w:rPr>
  </w:style>
  <w:style w:type="character" w:customStyle="1" w:styleId="QuoteChar">
    <w:name w:val="Quote Char"/>
    <w:basedOn w:val="DefaultParagraphFont"/>
    <w:link w:val="Quote"/>
    <w:uiPriority w:val="29"/>
    <w:rsid w:val="004C633B"/>
    <w:rPr>
      <w:i/>
      <w:iCs/>
      <w:color w:val="404040" w:themeColor="text1" w:themeTint="BF"/>
    </w:rPr>
  </w:style>
  <w:style w:type="paragraph" w:styleId="ListParagraph">
    <w:name w:val="List Paragraph"/>
    <w:basedOn w:val="Normal"/>
    <w:uiPriority w:val="34"/>
    <w:qFormat/>
    <w:rsid w:val="004C633B"/>
    <w:pPr>
      <w:ind w:left="720"/>
      <w:contextualSpacing/>
    </w:pPr>
  </w:style>
  <w:style w:type="character" w:styleId="IntenseEmphasis">
    <w:name w:val="Intense Emphasis"/>
    <w:basedOn w:val="DefaultParagraphFont"/>
    <w:uiPriority w:val="21"/>
    <w:qFormat/>
    <w:rsid w:val="004C633B"/>
    <w:rPr>
      <w:i/>
      <w:iCs/>
      <w:color w:val="0F4761" w:themeColor="accent1" w:themeShade="BF"/>
    </w:rPr>
  </w:style>
  <w:style w:type="paragraph" w:styleId="IntenseQuote">
    <w:name w:val="Intense Quote"/>
    <w:basedOn w:val="Normal"/>
    <w:next w:val="Normal"/>
    <w:link w:val="IntenseQuoteChar"/>
    <w:uiPriority w:val="30"/>
    <w:qFormat/>
    <w:rsid w:val="004C63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633B"/>
    <w:rPr>
      <w:i/>
      <w:iCs/>
      <w:color w:val="0F4761" w:themeColor="accent1" w:themeShade="BF"/>
    </w:rPr>
  </w:style>
  <w:style w:type="character" w:styleId="IntenseReference">
    <w:name w:val="Intense Reference"/>
    <w:basedOn w:val="DefaultParagraphFont"/>
    <w:uiPriority w:val="32"/>
    <w:qFormat/>
    <w:rsid w:val="004C633B"/>
    <w:rPr>
      <w:b/>
      <w:bCs/>
      <w:smallCaps/>
      <w:color w:val="0F4761" w:themeColor="accent1" w:themeShade="BF"/>
      <w:spacing w:val="5"/>
    </w:rPr>
  </w:style>
  <w:style w:type="paragraph" w:styleId="BodyText">
    <w:name w:val="Body Text"/>
    <w:basedOn w:val="Normal"/>
    <w:link w:val="BodyTextChar"/>
    <w:qFormat/>
    <w:rsid w:val="004C633B"/>
    <w:pPr>
      <w:spacing w:before="180" w:after="180" w:line="240" w:lineRule="auto"/>
      <w:jc w:val="both"/>
    </w:pPr>
    <w:rPr>
      <w:rFonts w:eastAsiaTheme="minorEastAsia"/>
      <w:kern w:val="0"/>
      <w:sz w:val="20"/>
      <w:szCs w:val="20"/>
      <w:lang w:eastAsia="zh-CN"/>
      <w14:ligatures w14:val="none"/>
    </w:rPr>
  </w:style>
  <w:style w:type="character" w:customStyle="1" w:styleId="BodyTextChar">
    <w:name w:val="Body Text Char"/>
    <w:basedOn w:val="DefaultParagraphFont"/>
    <w:link w:val="BodyText"/>
    <w:rsid w:val="004C633B"/>
    <w:rPr>
      <w:rFonts w:eastAsiaTheme="minorEastAsia"/>
      <w:kern w:val="0"/>
      <w:sz w:val="20"/>
      <w:szCs w:val="20"/>
      <w:lang w:eastAsia="zh-CN"/>
      <w14:ligatures w14:val="none"/>
    </w:rPr>
  </w:style>
  <w:style w:type="paragraph" w:customStyle="1" w:styleId="FirstParagraph">
    <w:name w:val="First Paragraph"/>
    <w:basedOn w:val="BodyText"/>
    <w:next w:val="BodyText"/>
    <w:qFormat/>
    <w:rsid w:val="004C633B"/>
  </w:style>
  <w:style w:type="paragraph" w:styleId="Bibliography">
    <w:name w:val="Bibliography"/>
    <w:basedOn w:val="Normal"/>
    <w:qFormat/>
    <w:rsid w:val="004C633B"/>
    <w:pPr>
      <w:spacing w:after="200" w:line="240" w:lineRule="auto"/>
      <w:jc w:val="both"/>
    </w:pPr>
    <w:rPr>
      <w:rFonts w:eastAsiaTheme="minorEastAsia"/>
      <w:kern w:val="0"/>
      <w:sz w:val="20"/>
      <w:szCs w:val="20"/>
      <w:lang w:eastAsia="zh-CN"/>
      <w14:ligatures w14:val="none"/>
    </w:rPr>
  </w:style>
  <w:style w:type="character" w:styleId="Hyperlink">
    <w:name w:val="Hyperlink"/>
    <w:basedOn w:val="DefaultParagraphFont"/>
    <w:rsid w:val="004C633B"/>
    <w:rPr>
      <w:color w:val="156082" w:themeColor="accent1"/>
    </w:rPr>
  </w:style>
  <w:style w:type="character" w:styleId="FollowedHyperlink">
    <w:name w:val="FollowedHyperlink"/>
    <w:basedOn w:val="DefaultParagraphFont"/>
    <w:uiPriority w:val="99"/>
    <w:semiHidden/>
    <w:unhideWhenUsed/>
    <w:rsid w:val="004C633B"/>
    <w:rPr>
      <w:color w:val="96607D" w:themeColor="followedHyperlink"/>
      <w:u w:val="single"/>
    </w:rPr>
  </w:style>
  <w:style w:type="paragraph" w:styleId="FootnoteText">
    <w:name w:val="footnote text"/>
    <w:basedOn w:val="Normal"/>
    <w:link w:val="FootnoteTextChar"/>
    <w:uiPriority w:val="99"/>
    <w:semiHidden/>
    <w:unhideWhenUsed/>
    <w:rsid w:val="0025071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50712"/>
    <w:rPr>
      <w:sz w:val="20"/>
      <w:szCs w:val="20"/>
    </w:rPr>
  </w:style>
  <w:style w:type="character" w:styleId="FootnoteReference">
    <w:name w:val="footnote reference"/>
    <w:basedOn w:val="DefaultParagraphFont"/>
    <w:uiPriority w:val="99"/>
    <w:semiHidden/>
    <w:unhideWhenUsed/>
    <w:rsid w:val="0025071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25B681-93B7-B84D-9DF3-87EDE23724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883</Words>
  <Characters>5684</Characters>
  <Application>Microsoft Office Word</Application>
  <DocSecurity>0</DocSecurity>
  <Lines>99</Lines>
  <Paragraphs>43</Paragraphs>
  <ScaleCrop>false</ScaleCrop>
  <Company/>
  <LinksUpToDate>false</LinksUpToDate>
  <CharactersWithSpaces>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 D</dc:creator>
  <cp:keywords/>
  <dc:description/>
  <cp:lastModifiedBy>Thomas Coyle</cp:lastModifiedBy>
  <cp:revision>2</cp:revision>
  <dcterms:created xsi:type="dcterms:W3CDTF">2026-03-16T15:29:00Z</dcterms:created>
  <dcterms:modified xsi:type="dcterms:W3CDTF">2026-03-16T15:29:00Z</dcterms:modified>
</cp:coreProperties>
</file>