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4B532" w14:textId="77777777" w:rsidR="00974136" w:rsidRDefault="00974136" w:rsidP="00AF6BB3">
      <w:pPr>
        <w:pStyle w:val="Heading1"/>
      </w:pPr>
      <w:bookmarkStart w:id="0" w:name="X44269712a3c753c97d4655d1e6088bceed7d171"/>
      <w:r>
        <w:t>Supplement II: Psychometric robustness checks</w:t>
      </w:r>
    </w:p>
    <w:p w14:paraId="78B7EEE4" w14:textId="77777777" w:rsidR="00974136" w:rsidRDefault="00974136" w:rsidP="00AF6BB3">
      <w:pPr>
        <w:pStyle w:val="Heading2"/>
      </w:pPr>
      <w:bookmarkStart w:id="1" w:name="latent-models"/>
      <w:r>
        <w:t>Latent models</w:t>
      </w:r>
    </w:p>
    <w:p w14:paraId="435495B7" w14:textId="77777777" w:rsidR="00974136" w:rsidRDefault="00974136" w:rsidP="00AF6BB3">
      <w:pPr>
        <w:pStyle w:val="FirstParagraph"/>
        <w:jc w:val="left"/>
      </w:pPr>
      <w:r>
        <w:t>For UKB we used a battery of eight cognitive tests and estimated a clear one</w:t>
      </w:r>
      <w:r>
        <w:rPr>
          <w:rFonts w:ascii="Cambria Math" w:hAnsi="Cambria Math" w:cs="Cambria Math"/>
        </w:rPr>
        <w:t>‑</w:t>
      </w:r>
      <w:r>
        <w:t xml:space="preserve">factor model with good fit (see Table 2). Table S5 shows the loadings, which ranged from </w:t>
      </w:r>
      <m:oMath>
        <m:r>
          <w:rPr>
            <w:rFonts w:ascii="Cambria Math" w:hAnsi="Cambria Math"/>
          </w:rPr>
          <m:t>.429</m:t>
        </m:r>
      </m:oMath>
      <w:r>
        <w:t xml:space="preserve"> to </w:t>
      </w:r>
      <m:oMath>
        <m:r>
          <w:rPr>
            <w:rFonts w:ascii="Cambria Math" w:hAnsi="Cambria Math"/>
          </w:rPr>
          <m:t>.736</m:t>
        </m:r>
      </m:oMath>
      <w:r>
        <w:t>, with the largest values for Fluid Intelligence (</w:t>
      </w:r>
      <m:oMath>
        <m:r>
          <w:rPr>
            <w:rFonts w:ascii="Cambria Math" w:hAnsi="Cambria Math"/>
          </w:rPr>
          <m:t>.736</m:t>
        </m:r>
      </m:oMath>
      <w:r>
        <w:t>), Vocabulary (</w:t>
      </w:r>
      <m:oMath>
        <m:r>
          <w:rPr>
            <w:rFonts w:ascii="Cambria Math" w:hAnsi="Cambria Math"/>
          </w:rPr>
          <m:t>.660</m:t>
        </m:r>
      </m:oMath>
      <w:r>
        <w:t>), and Matrix Completion (</w:t>
      </w:r>
      <m:oMath>
        <m:r>
          <w:rPr>
            <w:rFonts w:ascii="Cambria Math" w:hAnsi="Cambria Math"/>
          </w:rPr>
          <m:t>.599</m:t>
        </m:r>
      </m:oMath>
      <w:r>
        <w:t>). Speeded tasks (Symbol–Digit, Trail Making) and short-term memory (Digit Span, Word Pairs) showed smaller loadings (</w:t>
      </w:r>
      <m:oMath>
        <m:r>
          <w:rPr>
            <w:rFonts w:ascii="Cambria Math" w:hAnsi="Cambria Math"/>
          </w:rPr>
          <m:t>.429</m:t>
        </m:r>
      </m:oMath>
      <w:r>
        <w:t>–</w:t>
      </w:r>
      <m:oMath>
        <m:r>
          <w:rPr>
            <w:rFonts w:ascii="Cambria Math" w:hAnsi="Cambria Math"/>
          </w:rPr>
          <m:t>.510</m:t>
        </m:r>
      </m:oMath>
      <w:r>
        <w:t>).</w:t>
      </w:r>
    </w:p>
    <w:p w14:paraId="1F00751C" w14:textId="12DB91D8" w:rsidR="00974136" w:rsidRDefault="00974136" w:rsidP="00AF6BB3">
      <w:pPr>
        <w:pStyle w:val="BodyText"/>
        <w:jc w:val="left"/>
      </w:pPr>
      <w:r>
        <w:t>For ABCD we used the same ten baseline tasks as in our main analysis. After the fit of a one-factor solution was not satisfactory, we modeled three first-order cognitive domains with a second-order general factor (</w:t>
      </w:r>
      <m:oMath>
        <m:r>
          <w:rPr>
            <w:rFonts w:ascii="Cambria Math" w:hAnsi="Cambria Math"/>
          </w:rPr>
          <m:t>g</m:t>
        </m:r>
      </m:oMath>
      <w:r>
        <w:t>). Table S6 and S7 show the loadings.</w:t>
      </w:r>
    </w:p>
    <w:p w14:paraId="6F996EAA" w14:textId="77777777" w:rsidR="00974136" w:rsidRDefault="00974136" w:rsidP="00AF6BB3">
      <w:pPr>
        <w:pStyle w:val="BodyText"/>
        <w:jc w:val="left"/>
      </w:pPr>
      <w:r>
        <w:t xml:space="preserve">The crystallized domain (Gc) was defined by NIH Toolbox Picture Vocabulary and Oral Reading Recognition (standardized loadings </w:t>
      </w:r>
      <m:oMath>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.59</m:t>
        </m:r>
      </m:oMath>
      <w:r>
        <w:t>–</w:t>
      </w:r>
      <m:oMath>
        <m:r>
          <w:rPr>
            <w:rFonts w:ascii="Cambria Math" w:hAnsi="Cambria Math"/>
          </w:rPr>
          <m:t>.68</m:t>
        </m:r>
      </m:oMath>
      <w:r>
        <w:t xml:space="preserve">). The executive control &amp; processing speed domain (EF–Gs) was defined by Flanker, Pattern Comparison (processing speed), Dimensional Change Card Sort, and the Little Man Task (standardized loadings </w:t>
      </w:r>
      <m:oMath>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.29</m:t>
        </m:r>
      </m:oMath>
      <w:r>
        <w:t>–</w:t>
      </w:r>
      <m:oMath>
        <m:r>
          <w:rPr>
            <w:rFonts w:ascii="Cambria Math" w:hAnsi="Cambria Math"/>
          </w:rPr>
          <m:t>.71</m:t>
        </m:r>
      </m:oMath>
      <w:r>
        <w:t xml:space="preserve">), reflecting timed attention, inhibition, set shifting, and rapid perceptual decisions. The memory domain (Gmem) was defined by List Sorting (working memory), Picture Sequence Memory (episodic order memory), Rey (episodic recall), and Matrix; in this battery, Matrix exhibited appreciable shared variance with the memory indicators (standardized loading </w:t>
      </w:r>
      <m:oMath>
        <m:r>
          <w:rPr>
            <w:rFonts w:ascii="Cambria Math" w:hAnsi="Cambria Math"/>
          </w:rPr>
          <m:t>λ</m:t>
        </m:r>
        <m:r>
          <m:rPr>
            <m:sty m:val="p"/>
          </m:rPr>
          <w:rPr>
            <w:rFonts w:ascii="Cambria Math" w:hAnsi="Cambria Math"/>
          </w:rPr>
          <m:t>≈</m:t>
        </m:r>
        <m:r>
          <w:rPr>
            <w:rFonts w:ascii="Cambria Math" w:hAnsi="Cambria Math"/>
          </w:rPr>
          <m:t>.51</m:t>
        </m:r>
      </m:oMath>
      <w:r>
        <w:t>).</w:t>
      </w:r>
    </w:p>
    <w:p w14:paraId="6C375223" w14:textId="77777777" w:rsidR="00974136" w:rsidRDefault="00974136" w:rsidP="00AF6BB3">
      <w:pPr>
        <w:pStyle w:val="BodyText"/>
        <w:jc w:val="left"/>
      </w:pPr>
      <w:r>
        <w:t xml:space="preserve">The second-order </w:t>
      </w:r>
      <m:oMath>
        <m:r>
          <w:rPr>
            <w:rFonts w:ascii="Cambria Math" w:hAnsi="Cambria Math"/>
          </w:rPr>
          <m:t>g</m:t>
        </m:r>
      </m:oMath>
      <w:r>
        <w:t xml:space="preserve"> factor captured variance common to the three domains, with strong standardized loadings on Gc (</w:t>
      </w:r>
      <m:oMath>
        <m:r>
          <w:rPr>
            <w:rFonts w:ascii="Cambria Math" w:hAnsi="Cambria Math"/>
          </w:rPr>
          <m:t>λ</m:t>
        </m:r>
        <m:r>
          <m:rPr>
            <m:sty m:val="p"/>
          </m:rPr>
          <w:rPr>
            <w:rFonts w:ascii="Cambria Math" w:hAnsi="Cambria Math"/>
          </w:rPr>
          <m:t>=</m:t>
        </m:r>
        <m:r>
          <w:rPr>
            <w:rFonts w:ascii="Cambria Math" w:hAnsi="Cambria Math"/>
          </w:rPr>
          <m:t>.80</m:t>
        </m:r>
      </m:oMath>
      <w:r>
        <w:t>), EF–Gs (</w:t>
      </w:r>
      <m:oMath>
        <m:r>
          <w:rPr>
            <w:rFonts w:ascii="Cambria Math" w:hAnsi="Cambria Math"/>
          </w:rPr>
          <m:t>λ</m:t>
        </m:r>
        <m:r>
          <m:rPr>
            <m:sty m:val="p"/>
          </m:rPr>
          <w:rPr>
            <w:rFonts w:ascii="Cambria Math" w:hAnsi="Cambria Math"/>
          </w:rPr>
          <m:t>=</m:t>
        </m:r>
        <m:r>
          <w:rPr>
            <w:rFonts w:ascii="Cambria Math" w:hAnsi="Cambria Math"/>
          </w:rPr>
          <m:t>.49</m:t>
        </m:r>
      </m:oMath>
      <w:r>
        <w:t>), and Gmem (</w:t>
      </w:r>
      <m:oMath>
        <m:r>
          <w:rPr>
            <w:rFonts w:ascii="Cambria Math" w:hAnsi="Cambria Math"/>
          </w:rPr>
          <m:t>λ</m:t>
        </m:r>
        <m:r>
          <m:rPr>
            <m:sty m:val="p"/>
          </m:rPr>
          <w:rPr>
            <w:rFonts w:ascii="Cambria Math" w:hAnsi="Cambria Math"/>
          </w:rPr>
          <m:t>=</m:t>
        </m:r>
        <m:r>
          <w:rPr>
            <w:rFonts w:ascii="Cambria Math" w:hAnsi="Cambria Math"/>
          </w:rPr>
          <m:t>.84</m:t>
        </m:r>
      </m:oMath>
      <w:r>
        <w:t>). Overall fit was good (CFI=.955/.951 robust; TLI=.947/.942; RMSEA=.031/.033 robust; SRMR=.029). We retain these descriptive labels (Gc, EF–Gs, Gmem) to emphasize the predominant cognitive processes represented by the indicators, though are descriptive rather than categorical.</w:t>
      </w:r>
    </w:p>
    <w:p w14:paraId="2156F596" w14:textId="78D808EE" w:rsidR="00974136" w:rsidRDefault="00974136" w:rsidP="00AF6BB3">
      <w:pPr>
        <w:pStyle w:val="BodyText"/>
        <w:jc w:val="left"/>
      </w:pPr>
      <w:r>
        <w:t>We also estimated an orthogonal bifactor model in which each test loads on a general factor (</w:t>
      </w:r>
      <m:oMath>
        <m:sSub>
          <m:sSubPr>
            <m:ctrlPr>
              <w:rPr>
                <w:rFonts w:ascii="Cambria Math" w:hAnsi="Cambria Math"/>
              </w:rPr>
            </m:ctrlPr>
          </m:sSubPr>
          <m:e>
            <m:r>
              <w:rPr>
                <w:rFonts w:ascii="Cambria Math" w:hAnsi="Cambria Math"/>
              </w:rPr>
              <m:t>g</m:t>
            </m:r>
          </m:e>
          <m:sub>
            <m:r>
              <m:rPr>
                <m:nor/>
              </m:rPr>
              <m:t>bi</m:t>
            </m:r>
          </m:sub>
        </m:sSub>
      </m:oMath>
      <w:r>
        <w:t>) and on one of the three domain</w:t>
      </w:r>
      <w:r>
        <w:rPr>
          <w:rFonts w:ascii="Cambria Math" w:hAnsi="Cambria Math" w:cs="Cambria Math"/>
        </w:rPr>
        <w:t>‐</w:t>
      </w:r>
      <w:r>
        <w:t>specific factor</w:t>
      </w:r>
      <w:r w:rsidR="0072794C">
        <w:t>s</w:t>
      </w:r>
      <w:r>
        <w:t>, with all latent factors constrained to be mutually orthogonal and residuals uncorrelated. As expected for a bifactor model, fit was excellent (CFI = 0.983, TLI = 0.979, RMSEA = 0.020, SRMR = 0.022). We report the bifactor solution alongside the second</w:t>
      </w:r>
      <w:r>
        <w:rPr>
          <w:rFonts w:ascii="Cambria Math" w:hAnsi="Cambria Math" w:cs="Cambria Math"/>
        </w:rPr>
        <w:t>‐</w:t>
      </w:r>
      <w:r>
        <w:t>order specification in Table S8 to demonstrate robustness of inferences about a general factor while clarifying where domain</w:t>
      </w:r>
      <w:r>
        <w:rPr>
          <w:rFonts w:ascii="Cambria Math" w:hAnsi="Cambria Math" w:cs="Cambria Math"/>
        </w:rPr>
        <w:t>‐</w:t>
      </w:r>
      <w:r>
        <w:t>specific variance remains concentrated (notably Speed).</w:t>
      </w:r>
    </w:p>
    <w:p w14:paraId="2018527C" w14:textId="77777777" w:rsidR="00974136" w:rsidRDefault="00974136" w:rsidP="00AF6BB3">
      <w:pPr>
        <w:pStyle w:val="BodyText"/>
        <w:jc w:val="left"/>
      </w:pPr>
      <w:r>
        <w:t>Table 2 gives the regression slopes on the latent scale and model fit for the single factor UKB and the second-order factor model in ABCD, Table S9 the fit and regression slopes for the second-order factor model in comparison to the single factor and bifactor models. Bifactor and second-order model estimate an association comparable to the reliability-adjusted as well as latent results in UKB, while the single factor model aligns with the reliability-adjusted ABCD estimate in the main text. Predictors were the PGS decomposed into between</w:t>
      </w:r>
      <w:r>
        <w:rPr>
          <w:rFonts w:ascii="Cambria Math" w:hAnsi="Cambria Math" w:cs="Cambria Math"/>
        </w:rPr>
        <w:t>‑</w:t>
      </w:r>
      <w:r>
        <w:t>family (</w:t>
      </w:r>
      <m:oMath>
        <m:r>
          <w:rPr>
            <w:rFonts w:ascii="Cambria Math" w:hAnsi="Cambria Math"/>
          </w:rPr>
          <m:t>PG</m:t>
        </m:r>
        <m:sSub>
          <m:sSubPr>
            <m:ctrlPr>
              <w:rPr>
                <w:rFonts w:ascii="Cambria Math" w:hAnsi="Cambria Math"/>
              </w:rPr>
            </m:ctrlPr>
          </m:sSubPr>
          <m:e>
            <m:r>
              <w:rPr>
                <w:rFonts w:ascii="Cambria Math" w:hAnsi="Cambria Math"/>
              </w:rPr>
              <m:t>S</m:t>
            </m:r>
          </m:e>
          <m:sub>
            <m:r>
              <w:rPr>
                <w:rFonts w:ascii="Cambria Math" w:hAnsi="Cambria Math"/>
              </w:rPr>
              <m:t>b</m:t>
            </m:r>
          </m:sub>
        </m:sSub>
      </m:oMath>
      <w:r>
        <w:t>) and within</w:t>
      </w:r>
      <w:r>
        <w:rPr>
          <w:rFonts w:ascii="Cambria Math" w:hAnsi="Cambria Math" w:cs="Cambria Math"/>
        </w:rPr>
        <w:t>‑</w:t>
      </w:r>
      <w:r>
        <w:t>family (</w:t>
      </w:r>
      <m:oMath>
        <m:r>
          <w:rPr>
            <w:rFonts w:ascii="Cambria Math" w:hAnsi="Cambria Math"/>
          </w:rPr>
          <m:t>PG</m:t>
        </m:r>
        <m:sSub>
          <m:sSubPr>
            <m:ctrlPr>
              <w:rPr>
                <w:rFonts w:ascii="Cambria Math" w:hAnsi="Cambria Math"/>
              </w:rPr>
            </m:ctrlPr>
          </m:sSubPr>
          <m:e>
            <m:r>
              <w:rPr>
                <w:rFonts w:ascii="Cambria Math" w:hAnsi="Cambria Math"/>
              </w:rPr>
              <m:t>S</m:t>
            </m:r>
          </m:e>
          <m:sub>
            <m:r>
              <w:rPr>
                <w:rFonts w:ascii="Cambria Math" w:hAnsi="Cambria Math"/>
              </w:rPr>
              <m:t>w</m:t>
            </m:r>
          </m:sub>
        </m:sSub>
      </m:oMath>
      <w:r>
        <w:t>) components via family mean centering. All SEMs used MLR with FIML and family clustering; latent variances were fixed to 1. Model</w:t>
      </w:r>
      <w:r>
        <w:rPr>
          <w:rFonts w:ascii="Cambria Math" w:hAnsi="Cambria Math" w:cs="Cambria Math"/>
        </w:rPr>
        <w:t>‑</w:t>
      </w:r>
      <w:r>
        <w:t>implied SEs and tests use cluster</w:t>
      </w:r>
      <w:r>
        <w:rPr>
          <w:rFonts w:ascii="Cambria Math" w:hAnsi="Cambria Math" w:cs="Cambria Math"/>
        </w:rPr>
        <w:t>‑</w:t>
      </w:r>
      <w:r>
        <w:t>robust (family) corrections.</w:t>
      </w:r>
    </w:p>
    <w:p w14:paraId="60213477" w14:textId="77777777" w:rsidR="00974136" w:rsidRDefault="00974136" w:rsidP="00AF6BB3">
      <w:pPr>
        <w:pStyle w:val="Heading2"/>
      </w:pPr>
      <w:bookmarkStart w:id="2" w:name="measurement-invariance-across-pgs-strata"/>
      <w:bookmarkEnd w:id="1"/>
      <w:r>
        <w:t>Measurement invariance across PGS strata</w:t>
      </w:r>
    </w:p>
    <w:p w14:paraId="74E695C4" w14:textId="77777777" w:rsidR="00974136" w:rsidRDefault="00974136" w:rsidP="00AF6BB3">
      <w:pPr>
        <w:pStyle w:val="FirstParagraph"/>
        <w:jc w:val="left"/>
      </w:pPr>
      <w:r>
        <w:t xml:space="preserve">A key assumption underlying our analysis is that the latent construct </w:t>
      </w:r>
      <m:oMath>
        <m:r>
          <w:rPr>
            <w:rFonts w:ascii="Cambria Math" w:hAnsi="Cambria Math"/>
          </w:rPr>
          <m:t>g</m:t>
        </m:r>
      </m:oMath>
      <w:r>
        <w:t xml:space="preserve"> has the same meaning across levels of genetic propensity. If the measurement model differs systematically across PGS strata, for instance, if certain indicators load more strongly on </w:t>
      </w:r>
      <m:oMath>
        <m:r>
          <w:rPr>
            <w:rFonts w:ascii="Cambria Math" w:hAnsi="Cambria Math"/>
          </w:rPr>
          <m:t>g</m:t>
        </m:r>
      </m:oMath>
      <w:r>
        <w:t xml:space="preserve"> among high-PGS individuals, then comparisons of latent scores across PGS levels may be biased. We tested this by evaluating measurement invariance across PGS deciles (UKB) and quintiles (ABCD; smaller groups were used due to sample size constraints).</w:t>
      </w:r>
    </w:p>
    <w:p w14:paraId="4D0C668E" w14:textId="77777777" w:rsidR="00974136" w:rsidRDefault="00974136" w:rsidP="00AF6BB3">
      <w:pPr>
        <w:pStyle w:val="BodyText"/>
        <w:jc w:val="left"/>
      </w:pPr>
      <w:r>
        <w:lastRenderedPageBreak/>
        <w:t xml:space="preserve">Measurement invariance is typically assessed in a sequence of increasingly restrictive models. First, </w:t>
      </w:r>
      <w:r>
        <w:rPr>
          <w:i/>
          <w:iCs/>
        </w:rPr>
        <w:t>configural invariance</w:t>
      </w:r>
      <w:r>
        <w:t xml:space="preserve"> requires that the same factor structure (i.e., which indicators load on which factors) holds across groups; this baseline model allows all parameters to differ freely across strata. Second, </w:t>
      </w:r>
      <w:r>
        <w:rPr>
          <w:i/>
          <w:iCs/>
        </w:rPr>
        <w:t>metric (weak) invariance</w:t>
      </w:r>
      <w:r>
        <w:t xml:space="preserve"> constrains factor loadings to be equal across groups, ensuring that a one-unit change in latent </w:t>
      </w:r>
      <m:oMath>
        <m:r>
          <w:rPr>
            <w:rFonts w:ascii="Cambria Math" w:hAnsi="Cambria Math"/>
          </w:rPr>
          <m:t>g</m:t>
        </m:r>
      </m:oMath>
      <w:r>
        <w:t xml:space="preserve"> corresponds to the same expected change in each indicator regardless of PGS stratum, a prerequisite for meaningful comparison of latent associations across groups. Third, </w:t>
      </w:r>
      <w:r>
        <w:rPr>
          <w:i/>
          <w:iCs/>
        </w:rPr>
        <w:t>scalar (strong) invariance</w:t>
      </w:r>
      <w:r>
        <w:t xml:space="preserve"> additionally constrains indicator intercepts to be equal, ensuring that individuals with the same latent </w:t>
      </w:r>
      <m:oMath>
        <m:r>
          <w:rPr>
            <w:rFonts w:ascii="Cambria Math" w:hAnsi="Cambria Math"/>
          </w:rPr>
          <m:t>g</m:t>
        </m:r>
      </m:oMath>
      <w:r>
        <w:t xml:space="preserve"> score have the same expected observed scores regardless of group membership; this is required for comparing latent means across groups.</w:t>
      </w:r>
    </w:p>
    <w:p w14:paraId="6FC73411" w14:textId="77777777" w:rsidR="00974136" w:rsidRDefault="00974136" w:rsidP="00AF6BB3">
      <w:pPr>
        <w:pStyle w:val="BodyText"/>
        <w:jc w:val="left"/>
      </w:pPr>
      <w:r>
        <w:t xml:space="preserve">For our purposes, metric invariance is the critical test: the Common-Path Slope analysis and the interpretation of within-family PGS effects assume that the PGS relates to indicators only through </w:t>
      </w:r>
      <m:oMath>
        <m:r>
          <w:rPr>
            <w:rFonts w:ascii="Cambria Math" w:hAnsi="Cambria Math"/>
          </w:rPr>
          <m:t>g</m:t>
        </m:r>
      </m:oMath>
      <w:r>
        <w:t xml:space="preserve"> (i.e., equal loadings across PGS levels). Scalar invariance is not required because we do not compare latent </w:t>
      </w:r>
      <m:oMath>
        <m:r>
          <w:rPr>
            <w:rFonts w:ascii="Cambria Math" w:hAnsi="Cambria Math"/>
          </w:rPr>
          <m:t>g</m:t>
        </m:r>
      </m:oMath>
      <w:r>
        <w:t xml:space="preserve"> means across PGS strata.</w:t>
      </w:r>
    </w:p>
    <w:p w14:paraId="48257240" w14:textId="77777777" w:rsidR="00974136" w:rsidRDefault="00974136" w:rsidP="00AF6BB3">
      <w:pPr>
        <w:pStyle w:val="BodyText"/>
        <w:jc w:val="left"/>
      </w:pPr>
      <w:r>
        <w:t>We evaluated invariance by comparing model fit (CFI, RMSEA) between configural and metric models. A change in CFI of less than 0.01 is conventionally interpreted as supporting invariance (Cheung &amp; Rensvold, 2002). As shown in Table S10, metric invariance held in both cohorts (</w:t>
      </w:r>
      <m:oMath>
        <m:r>
          <m:rPr>
            <m:sty m:val="p"/>
          </m:rPr>
          <w:rPr>
            <w:rFonts w:ascii="Cambria Math" w:hAnsi="Cambria Math"/>
          </w:rPr>
          <m:t>Δ</m:t>
        </m:r>
      </m:oMath>
      <w:r>
        <w:t xml:space="preserve">CFI </w:t>
      </w:r>
      <m:oMath>
        <m:r>
          <m:rPr>
            <m:sty m:val="p"/>
          </m:rPr>
          <w:rPr>
            <w:rFonts w:ascii="Cambria Math" w:hAnsi="Cambria Math"/>
          </w:rPr>
          <m:t>&lt;</m:t>
        </m:r>
        <m:r>
          <w:rPr>
            <w:rFonts w:ascii="Cambria Math" w:hAnsi="Cambria Math"/>
          </w:rPr>
          <m:t>0.01</m:t>
        </m:r>
      </m:oMath>
      <w:r>
        <w:t>), supporting the assumption that the measurement model is stable across PGS levels.</w:t>
      </w:r>
    </w:p>
    <w:p w14:paraId="5F9CE7AD" w14:textId="77777777" w:rsidR="00974136" w:rsidRDefault="00974136" w:rsidP="00AF6BB3">
      <w:pPr>
        <w:pStyle w:val="Heading2"/>
      </w:pPr>
      <w:bookmarkStart w:id="3" w:name="mimic-dif-scans"/>
      <w:bookmarkEnd w:id="2"/>
      <w:r>
        <w:t>MIMIC DIF scans</w:t>
      </w:r>
    </w:p>
    <w:p w14:paraId="2170BD4E" w14:textId="77777777" w:rsidR="00974136" w:rsidRDefault="00974136" w:rsidP="00AF6BB3">
      <w:pPr>
        <w:pStyle w:val="FirstParagraph"/>
        <w:jc w:val="left"/>
      </w:pPr>
      <w:r>
        <w:t xml:space="preserve">To test whether the PGS predicts specific cognitive indicators beyond its association with latent </w:t>
      </w:r>
      <m:oMath>
        <m:r>
          <w:rPr>
            <w:rFonts w:ascii="Cambria Math" w:hAnsi="Cambria Math"/>
          </w:rPr>
          <m:t>g</m:t>
        </m:r>
      </m:oMath>
      <w:r>
        <w:t xml:space="preserve"> (which would suggest item-specific genetic effects or differential item functioning, DIF), we conducted MIMIC (Multiple Indicator Multiple Cause) analyses. In a standard MIMIC model, the PGS predicts the latent factor, which in turn predicts the observed indicators. DIF is assessed by adding a direct path from the PGS to each indicator, one at a time, while retaining the PGS </w:t>
      </w:r>
      <m:oMath>
        <m:r>
          <m:rPr>
            <m:sty m:val="p"/>
          </m:rPr>
          <w:rPr>
            <w:rFonts w:ascii="Cambria Math" w:hAnsi="Cambria Math"/>
          </w:rPr>
          <m:t>→</m:t>
        </m:r>
        <m:r>
          <w:rPr>
            <w:rFonts w:ascii="Cambria Math" w:hAnsi="Cambria Math"/>
          </w:rPr>
          <m:t>g</m:t>
        </m:r>
      </m:oMath>
      <w:r>
        <w:t xml:space="preserve"> path. A significant direct effect indicates that the PGS predicts that specific indicator above and beyond its effect through latent </w:t>
      </w:r>
      <m:oMath>
        <m:r>
          <w:rPr>
            <w:rFonts w:ascii="Cambria Math" w:hAnsi="Cambria Math"/>
          </w:rPr>
          <m:t>g</m:t>
        </m:r>
      </m:oMath>
      <w:r>
        <w:t>, consistent with item-specific genetic influences or measurement non-invariance across PGS levels.</w:t>
      </w:r>
    </w:p>
    <w:p w14:paraId="7D1B0A8F" w14:textId="77777777" w:rsidR="00974136" w:rsidRDefault="00974136" w:rsidP="00AF6BB3">
      <w:pPr>
        <w:pStyle w:val="BodyText"/>
        <w:jc w:val="left"/>
      </w:pPr>
      <w:r>
        <w:t xml:space="preserve">Concretely, for each indicator </w:t>
      </w:r>
      <m:oMath>
        <m:r>
          <w:rPr>
            <w:rFonts w:ascii="Cambria Math" w:hAnsi="Cambria Math"/>
          </w:rPr>
          <m:t>i</m:t>
        </m:r>
      </m:oMath>
      <w:r>
        <w:t>, we estimated:</w:t>
      </w:r>
    </w:p>
    <w:p w14:paraId="11711D1E" w14:textId="77777777" w:rsidR="00974136" w:rsidRDefault="00974136" w:rsidP="00AF6BB3">
      <w:pPr>
        <w:pStyle w:val="BodyText"/>
        <w:jc w:val="left"/>
      </w:pPr>
      <m:oMathPara>
        <m:oMathParaPr>
          <m:jc m:val="center"/>
        </m:oMathParaPr>
        <m:oMath>
          <m:r>
            <w:rPr>
              <w:rFonts w:ascii="Cambria Math" w:hAnsi="Cambria Math"/>
            </w:rPr>
            <m:t>g</m:t>
          </m:r>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b</m:t>
              </m:r>
            </m:sub>
          </m:sSub>
          <m:r>
            <w:rPr>
              <w:rFonts w:ascii="Cambria Math" w:hAnsi="Cambria Math"/>
            </w:rPr>
            <m:t> </m:t>
          </m:r>
          <m:sSub>
            <m:sSubPr>
              <m:ctrlPr>
                <w:rPr>
                  <w:rFonts w:ascii="Cambria Math" w:hAnsi="Cambria Math"/>
                </w:rPr>
              </m:ctrlPr>
            </m:sSubPr>
            <m:e>
              <m:r>
                <m:rPr>
                  <m:sty m:val="p"/>
                </m:rPr>
                <w:rPr>
                  <w:rFonts w:ascii="Cambria Math" w:hAnsi="Cambria Math"/>
                </w:rPr>
                <m:t>PGS</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w</m:t>
              </m:r>
            </m:sub>
          </m:sSub>
          <m:r>
            <w:rPr>
              <w:rFonts w:ascii="Cambria Math" w:hAnsi="Cambria Math"/>
            </w:rPr>
            <m:t> </m:t>
          </m:r>
          <m:sSub>
            <m:sSubPr>
              <m:ctrlPr>
                <w:rPr>
                  <w:rFonts w:ascii="Cambria Math" w:hAnsi="Cambria Math"/>
                </w:rPr>
              </m:ctrlPr>
            </m:sSubPr>
            <m:e>
              <m:r>
                <m:rPr>
                  <m:sty m:val="p"/>
                </m:rPr>
                <w:rPr>
                  <w:rFonts w:ascii="Cambria Math" w:hAnsi="Cambria Math"/>
                </w:rPr>
                <m:t>PGS</m:t>
              </m:r>
            </m:e>
            <m:sub>
              <m:r>
                <w:rPr>
                  <w:rFonts w:ascii="Cambria Math" w:hAnsi="Cambria Math"/>
                </w:rPr>
                <m:t>w</m:t>
              </m:r>
            </m:sub>
          </m:sSub>
        </m:oMath>
      </m:oMathPara>
    </w:p>
    <w:p w14:paraId="3B76C378" w14:textId="77777777" w:rsidR="00974136" w:rsidRDefault="00000000" w:rsidP="00AF6BB3">
      <w:pPr>
        <w:pStyle w:val="FirstParagraph"/>
        <w:jc w:val="left"/>
      </w:pPr>
      <m:oMathPara>
        <m:oMathParaPr>
          <m:jc m:val="center"/>
        </m:oMathParaPr>
        <m:oMath>
          <m:sSub>
            <m:sSubPr>
              <m:ctrlPr>
                <w:rPr>
                  <w:rFonts w:ascii="Cambria Math" w:hAnsi="Cambria Math"/>
                </w:rPr>
              </m:ctrlPr>
            </m:sSubPr>
            <m:e>
              <m:r>
                <m:rPr>
                  <m:sty m:val="p"/>
                </m:rPr>
                <w:rPr>
                  <w:rFonts w:ascii="Cambria Math" w:hAnsi="Cambria Math"/>
                </w:rPr>
                <m:t>Indicator</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i</m:t>
              </m:r>
            </m:sub>
          </m:sSub>
          <m:r>
            <w:rPr>
              <w:rFonts w:ascii="Cambria Math" w:hAnsi="Cambria Math"/>
            </w:rPr>
            <m:t>g</m:t>
          </m:r>
          <m:r>
            <m:rPr>
              <m:sty m:val="p"/>
            </m:rPr>
            <w:rPr>
              <w:rFonts w:ascii="Cambria Math" w:hAnsi="Cambria Math"/>
            </w:rPr>
            <m:t>+</m:t>
          </m:r>
          <m:sSub>
            <m:sSubPr>
              <m:ctrlPr>
                <w:rPr>
                  <w:rFonts w:ascii="Cambria Math" w:hAnsi="Cambria Math"/>
                </w:rPr>
              </m:ctrlPr>
            </m:sSubPr>
            <m:e>
              <m:r>
                <w:rPr>
                  <w:rFonts w:ascii="Cambria Math" w:hAnsi="Cambria Math"/>
                </w:rPr>
                <m:t>γ</m:t>
              </m:r>
            </m:e>
            <m:sub>
              <m:r>
                <w:rPr>
                  <w:rFonts w:ascii="Cambria Math" w:hAnsi="Cambria Math"/>
                </w:rPr>
                <m:t>i</m:t>
              </m:r>
            </m:sub>
          </m:sSub>
          <m:r>
            <w:rPr>
              <w:rFonts w:ascii="Cambria Math" w:hAnsi="Cambria Math"/>
            </w:rPr>
            <m:t> </m:t>
          </m:r>
          <m:sSub>
            <m:sSubPr>
              <m:ctrlPr>
                <w:rPr>
                  <w:rFonts w:ascii="Cambria Math" w:hAnsi="Cambria Math"/>
                </w:rPr>
              </m:ctrlPr>
            </m:sSubPr>
            <m:e>
              <m:r>
                <m:rPr>
                  <m:sty m:val="p"/>
                </m:rPr>
                <w:rPr>
                  <w:rFonts w:ascii="Cambria Math" w:hAnsi="Cambria Math"/>
                </w:rPr>
                <m:t>PGS</m:t>
              </m:r>
            </m:e>
            <m:sub>
              <m:r>
                <w:rPr>
                  <w:rFonts w:ascii="Cambria Math" w:hAnsi="Cambria Math"/>
                </w:rPr>
                <m:t>w</m:t>
              </m:r>
            </m:sub>
          </m:sSub>
        </m:oMath>
      </m:oMathPara>
    </w:p>
    <w:p w14:paraId="56359594" w14:textId="77777777" w:rsidR="00974136" w:rsidRDefault="00974136" w:rsidP="00AF6BB3">
      <w:pPr>
        <w:pStyle w:val="FirstParagraph"/>
        <w:jc w:val="left"/>
      </w:pPr>
      <w:r>
        <w:t xml:space="preserve">where </w:t>
      </w:r>
      <m:oMath>
        <m:sSub>
          <m:sSubPr>
            <m:ctrlPr>
              <w:rPr>
                <w:rFonts w:ascii="Cambria Math" w:hAnsi="Cambria Math"/>
              </w:rPr>
            </m:ctrlPr>
          </m:sSubPr>
          <m:e>
            <m:r>
              <w:rPr>
                <w:rFonts w:ascii="Cambria Math" w:hAnsi="Cambria Math"/>
              </w:rPr>
              <m:t>γ</m:t>
            </m:r>
          </m:e>
          <m:sub>
            <m:r>
              <w:rPr>
                <w:rFonts w:ascii="Cambria Math" w:hAnsi="Cambria Math"/>
              </w:rPr>
              <m:t>i</m:t>
            </m:r>
          </m:sub>
        </m:sSub>
      </m:oMath>
      <w:r>
        <w:t xml:space="preserve"> is the direct effect of interest. A non-zero </w:t>
      </w:r>
      <m:oMath>
        <m:sSub>
          <m:sSubPr>
            <m:ctrlPr>
              <w:rPr>
                <w:rFonts w:ascii="Cambria Math" w:hAnsi="Cambria Math"/>
              </w:rPr>
            </m:ctrlPr>
          </m:sSubPr>
          <m:e>
            <m:r>
              <w:rPr>
                <w:rFonts w:ascii="Cambria Math" w:hAnsi="Cambria Math"/>
              </w:rPr>
              <m:t>γ</m:t>
            </m:r>
          </m:e>
          <m:sub>
            <m:r>
              <w:rPr>
                <w:rFonts w:ascii="Cambria Math" w:hAnsi="Cambria Math"/>
              </w:rPr>
              <m:t>i</m:t>
            </m:r>
          </m:sub>
        </m:sSub>
      </m:oMath>
      <w:r>
        <w:t xml:space="preserve"> after correction for multiple testing would indicate DIF for that indicator.</w:t>
      </w:r>
    </w:p>
    <w:p w14:paraId="60B83770" w14:textId="77777777" w:rsidR="00974136" w:rsidRDefault="00974136" w:rsidP="00AF6BB3">
      <w:pPr>
        <w:pStyle w:val="BodyText"/>
        <w:jc w:val="left"/>
      </w:pPr>
      <w:r>
        <w:t>After Benjamini-Hochberg correction, no UKB or ABCD item showed significant direct effects; the largest absolute standardized direct effects were small (</w:t>
      </w:r>
      <m:oMath>
        <m:r>
          <m:rPr>
            <m:sty m:val="p"/>
          </m:rPr>
          <w:rPr>
            <w:rFonts w:ascii="Cambria Math" w:hAnsi="Cambria Math"/>
          </w:rPr>
          <m:t>≤</m:t>
        </m:r>
        <m:r>
          <w:rPr>
            <w:rFonts w:ascii="Cambria Math" w:hAnsi="Cambria Math"/>
          </w:rPr>
          <m:t>0.035</m:t>
        </m:r>
      </m:oMath>
      <w:r>
        <w:t xml:space="preserve"> in UKB; </w:t>
      </w:r>
      <m:oMath>
        <m:r>
          <m:rPr>
            <m:sty m:val="p"/>
          </m:rPr>
          <w:rPr>
            <w:rFonts w:ascii="Cambria Math" w:hAnsi="Cambria Math"/>
          </w:rPr>
          <m:t>≤</m:t>
        </m:r>
        <m:r>
          <w:rPr>
            <w:rFonts w:ascii="Cambria Math" w:hAnsi="Cambria Math"/>
          </w:rPr>
          <m:t>0.053</m:t>
        </m:r>
      </m:oMath>
      <w:r>
        <w:t xml:space="preserve"> in ABCD), as shown in Table S11 and S12. This supports the interpretation that the PGS operates primarily through latent </w:t>
      </w:r>
      <m:oMath>
        <m:r>
          <w:rPr>
            <w:rFonts w:ascii="Cambria Math" w:hAnsi="Cambria Math"/>
          </w:rPr>
          <m:t>g</m:t>
        </m:r>
      </m:oMath>
      <w:r>
        <w:t xml:space="preserve"> rather than through item-specific pathways.</w:t>
      </w:r>
    </w:p>
    <w:p w14:paraId="1633BA60" w14:textId="77777777" w:rsidR="00974136" w:rsidRDefault="00974136" w:rsidP="00AF6BB3">
      <w:pPr>
        <w:pStyle w:val="Heading2"/>
      </w:pPr>
      <w:bookmarkStart w:id="4" w:name="indicator-level-scaling-with-g"/>
      <w:bookmarkEnd w:id="3"/>
      <w:r>
        <w:t xml:space="preserve">Indicator-level scaling with </w:t>
      </w:r>
      <m:oMath>
        <m:r>
          <w:rPr>
            <w:rFonts w:ascii="Cambria Math" w:hAnsi="Cambria Math"/>
          </w:rPr>
          <m:t>g</m:t>
        </m:r>
      </m:oMath>
    </w:p>
    <w:p w14:paraId="5981C3EC" w14:textId="77777777" w:rsidR="00974136" w:rsidRDefault="00974136" w:rsidP="00AF6BB3">
      <w:pPr>
        <w:pStyle w:val="FirstParagraph"/>
        <w:jc w:val="left"/>
      </w:pPr>
      <w:r>
        <w:t xml:space="preserve">To assess whether polygenic prediction is concentrated in general cognitive ability rather than indicator-specific variance, we examined whether PGS-indicator associations scale with indicators’ </w:t>
      </w:r>
      <m:oMath>
        <m:r>
          <w:rPr>
            <w:rFonts w:ascii="Cambria Math" w:hAnsi="Cambria Math"/>
          </w:rPr>
          <m:t>g</m:t>
        </m:r>
      </m:oMath>
      <w:r>
        <w:t>-loadings</w:t>
      </w:r>
      <w:r>
        <w:rPr>
          <w:rStyle w:val="FootnoteReference"/>
        </w:rPr>
        <w:footnoteReference w:id="1"/>
      </w:r>
      <w:r>
        <w:t xml:space="preserve">. </w:t>
      </w:r>
      <w:r>
        <w:lastRenderedPageBreak/>
        <w:t xml:space="preserve">Within each cohort, we correlated the vector of standardized indicator </w:t>
      </w:r>
      <m:oMath>
        <m:r>
          <w:rPr>
            <w:rFonts w:ascii="Cambria Math" w:hAnsi="Cambria Math"/>
          </w:rPr>
          <m:t>g</m:t>
        </m:r>
      </m:oMath>
      <w:r>
        <w:t xml:space="preserve">-loadings from the cohort measurement model with the vector of standardized PGS associations estimated for the corresponding indicators in the sibling validation samples (population and within-family specifications reported separately). Because the number of indicators is small (UKB: </w:t>
      </w:r>
      <m:oMath>
        <m:r>
          <w:rPr>
            <w:rFonts w:ascii="Cambria Math" w:hAnsi="Cambria Math"/>
          </w:rPr>
          <m:t>k</m:t>
        </m:r>
        <m:r>
          <m:rPr>
            <m:sty m:val="p"/>
          </m:rPr>
          <w:rPr>
            <w:rFonts w:ascii="Cambria Math" w:hAnsi="Cambria Math"/>
          </w:rPr>
          <m:t>=</m:t>
        </m:r>
        <m:r>
          <w:rPr>
            <w:rFonts w:ascii="Cambria Math" w:hAnsi="Cambria Math"/>
          </w:rPr>
          <m:t>8</m:t>
        </m:r>
      </m:oMath>
      <w:r>
        <w:t xml:space="preserve">; ABCD: </w:t>
      </w:r>
      <m:oMath>
        <m:r>
          <w:rPr>
            <w:rFonts w:ascii="Cambria Math" w:hAnsi="Cambria Math"/>
          </w:rPr>
          <m:t>k</m:t>
        </m:r>
        <m:r>
          <m:rPr>
            <m:sty m:val="p"/>
          </m:rPr>
          <w:rPr>
            <w:rFonts w:ascii="Cambria Math" w:hAnsi="Cambria Math"/>
          </w:rPr>
          <m:t>=</m:t>
        </m:r>
        <m:r>
          <w:rPr>
            <w:rFonts w:ascii="Cambria Math" w:hAnsi="Cambria Math"/>
          </w:rPr>
          <m:t>10</m:t>
        </m:r>
      </m:oMath>
      <w:r>
        <w:t>), these correlations should be considered as descriptive robustness checks rather than standalone inferential tests.</w:t>
      </w:r>
    </w:p>
    <w:p w14:paraId="624626C6" w14:textId="77777777" w:rsidR="00974136" w:rsidRDefault="00974136" w:rsidP="00AF6BB3">
      <w:pPr>
        <w:pStyle w:val="BodyText"/>
        <w:jc w:val="left"/>
      </w:pPr>
      <w:r>
        <w:t xml:space="preserve">To quantify the imprecision arising from small </w:t>
      </w:r>
      <m:oMath>
        <m:r>
          <w:rPr>
            <w:rFonts w:ascii="Cambria Math" w:hAnsi="Cambria Math"/>
          </w:rPr>
          <m:t>k</m:t>
        </m:r>
      </m:oMath>
      <w:r>
        <w:t>, we report Fisher-</w:t>
      </w:r>
      <m:oMath>
        <m:r>
          <w:rPr>
            <w:rFonts w:ascii="Cambria Math" w:hAnsi="Cambria Math"/>
          </w:rPr>
          <m:t>z</m:t>
        </m:r>
      </m:oMath>
      <w:r>
        <w:t xml:space="preserve"> confidence intervals based only on the number of indicators. Specifically, for a correlated-vectors coefficient </w:t>
      </w:r>
      <m:oMath>
        <m:r>
          <w:rPr>
            <w:rFonts w:ascii="Cambria Math" w:hAnsi="Cambria Math"/>
          </w:rPr>
          <m:t>r</m:t>
        </m:r>
      </m:oMath>
      <w:r>
        <w:t xml:space="preserve"> we compute </w:t>
      </w:r>
      <m:oMath>
        <m:r>
          <w:rPr>
            <w:rFonts w:ascii="Cambria Math" w:hAnsi="Cambria Math"/>
          </w:rPr>
          <m:t>z</m:t>
        </m:r>
        <m:r>
          <m:rPr>
            <m:sty m:val="p"/>
          </m:rPr>
          <w:rPr>
            <w:rFonts w:ascii="Cambria Math" w:hAnsi="Cambria Math"/>
          </w:rPr>
          <m:t>=atanh(</m:t>
        </m:r>
        <m:r>
          <w:rPr>
            <w:rFonts w:ascii="Cambria Math" w:hAnsi="Cambria Math"/>
          </w:rPr>
          <m:t>r</m:t>
        </m:r>
        <m:r>
          <m:rPr>
            <m:sty m:val="p"/>
          </m:rPr>
          <w:rPr>
            <w:rFonts w:ascii="Cambria Math" w:hAnsi="Cambria Math"/>
          </w:rPr>
          <m:t>)</m:t>
        </m:r>
      </m:oMath>
      <w:r>
        <w:t xml:space="preserve"> with </w:t>
      </w:r>
      <m:oMath>
        <m:r>
          <m:rPr>
            <m:sty m:val="p"/>
          </m:rPr>
          <w:rPr>
            <w:rFonts w:ascii="Cambria Math" w:hAnsi="Cambria Math"/>
          </w:rPr>
          <m:t>SE(</m:t>
        </m:r>
        <m:r>
          <w:rPr>
            <w:rFonts w:ascii="Cambria Math" w:hAnsi="Cambria Math"/>
          </w:rPr>
          <m:t>z</m:t>
        </m:r>
        <m:r>
          <m:rPr>
            <m:sty m:val="p"/>
          </m:rPr>
          <w:rPr>
            <w:rFonts w:ascii="Cambria Math" w:hAnsi="Cambria Math"/>
          </w:rPr>
          <m:t>)=</m:t>
        </m:r>
        <m:r>
          <w:rPr>
            <w:rFonts w:ascii="Cambria Math" w:hAnsi="Cambria Math"/>
          </w:rPr>
          <m:t>1</m:t>
        </m:r>
        <m:r>
          <m:rPr>
            <m:sty m:val="p"/>
          </m:rPr>
          <w:rPr>
            <w:rFonts w:ascii="Cambria Math" w:hAnsi="Cambria Math"/>
          </w:rPr>
          <m:t>/</m:t>
        </m:r>
        <m:rad>
          <m:radPr>
            <m:degHide m:val="1"/>
            <m:ctrlPr>
              <w:rPr>
                <w:rFonts w:ascii="Cambria Math" w:hAnsi="Cambria Math"/>
              </w:rPr>
            </m:ctrlPr>
          </m:radPr>
          <m:deg/>
          <m:e>
            <m:r>
              <w:rPr>
                <w:rFonts w:ascii="Cambria Math" w:hAnsi="Cambria Math"/>
              </w:rPr>
              <m:t>k</m:t>
            </m:r>
            <m:r>
              <m:rPr>
                <m:sty m:val="p"/>
              </m:rPr>
              <w:rPr>
                <w:rFonts w:ascii="Cambria Math" w:hAnsi="Cambria Math"/>
              </w:rPr>
              <m:t>-</m:t>
            </m:r>
            <m:r>
              <w:rPr>
                <w:rFonts w:ascii="Cambria Math" w:hAnsi="Cambria Math"/>
              </w:rPr>
              <m:t>3</m:t>
            </m:r>
          </m:e>
        </m:rad>
      </m:oMath>
      <w:r>
        <w:t xml:space="preserve">, obtain a 95% interval as </w:t>
      </w:r>
      <m:oMath>
        <m:r>
          <w:rPr>
            <w:rFonts w:ascii="Cambria Math" w:hAnsi="Cambria Math"/>
          </w:rPr>
          <m:t>z</m:t>
        </m:r>
        <m:r>
          <m:rPr>
            <m:sty m:val="p"/>
          </m:rPr>
          <w:rPr>
            <w:rFonts w:ascii="Cambria Math" w:hAnsi="Cambria Math"/>
          </w:rPr>
          <m:t>±</m:t>
        </m:r>
        <m:r>
          <w:rPr>
            <w:rFonts w:ascii="Cambria Math" w:hAnsi="Cambria Math"/>
          </w:rPr>
          <m:t>1.96 </m:t>
        </m:r>
        <m:r>
          <m:rPr>
            <m:sty m:val="p"/>
          </m:rPr>
          <w:rPr>
            <w:rFonts w:ascii="Cambria Math" w:hAnsi="Cambria Math"/>
          </w:rPr>
          <m:t>SE(</m:t>
        </m:r>
        <m:r>
          <w:rPr>
            <w:rFonts w:ascii="Cambria Math" w:hAnsi="Cambria Math"/>
          </w:rPr>
          <m:t>z</m:t>
        </m:r>
        <m:r>
          <m:rPr>
            <m:sty m:val="p"/>
          </m:rPr>
          <w:rPr>
            <w:rFonts w:ascii="Cambria Math" w:hAnsi="Cambria Math"/>
          </w:rPr>
          <m:t>)</m:t>
        </m:r>
      </m:oMath>
      <w:r>
        <w:t xml:space="preserve">, and transform back to the correlation scale via </w:t>
      </w:r>
      <m:oMath>
        <m:r>
          <m:rPr>
            <m:sty m:val="p"/>
          </m:rPr>
          <w:rPr>
            <w:rFonts w:ascii="Cambria Math" w:hAnsi="Cambria Math"/>
          </w:rPr>
          <m:t>tanh(⋅)</m:t>
        </m:r>
      </m:oMath>
      <w:r>
        <w:t>.</w:t>
      </w:r>
    </w:p>
    <w:tbl>
      <w:tblPr>
        <w:tblStyle w:val="Table"/>
        <w:tblW w:w="9072" w:type="dxa"/>
        <w:jc w:val="center"/>
        <w:tblLayout w:type="fixed"/>
        <w:tblLook w:val="0600" w:firstRow="0" w:lastRow="0" w:firstColumn="0" w:lastColumn="0" w:noHBand="1" w:noVBand="1"/>
      </w:tblPr>
      <w:tblGrid>
        <w:gridCol w:w="9072"/>
      </w:tblGrid>
      <w:tr w:rsidR="00974136" w14:paraId="0D608DF8" w14:textId="77777777" w:rsidTr="00815501">
        <w:trPr>
          <w:jc w:val="center"/>
        </w:trPr>
        <w:tc>
          <w:tcPr>
            <w:tcW w:w="9072" w:type="dxa"/>
            <w:vAlign w:val="center"/>
          </w:tcPr>
          <w:p w14:paraId="384A654D" w14:textId="77777777" w:rsidR="00974136" w:rsidRDefault="00974136" w:rsidP="00AF6BB3">
            <w:pPr>
              <w:pStyle w:val="Compact"/>
              <w:spacing w:before="0" w:after="0"/>
              <w:jc w:val="left"/>
            </w:pPr>
            <w:bookmarkStart w:id="5" w:name="fig:cv_scaling_g"/>
            <w:r>
              <w:rPr>
                <w:noProof/>
              </w:rPr>
              <w:drawing>
                <wp:inline distT="0" distB="0" distL="0" distR="0" wp14:anchorId="73B6E792" wp14:editId="4ADEB803">
                  <wp:extent cx="5760720" cy="2400300"/>
                  <wp:effectExtent l="0" t="0" r="0" b="0"/>
                  <wp:docPr id="93" name="Picture"/>
                  <wp:cNvGraphicFramePr/>
                  <a:graphic xmlns:a="http://schemas.openxmlformats.org/drawingml/2006/main">
                    <a:graphicData uri="http://schemas.openxmlformats.org/drawingml/2006/picture">
                      <pic:pic xmlns:pic="http://schemas.openxmlformats.org/drawingml/2006/picture">
                        <pic:nvPicPr>
                          <pic:cNvPr id="94" name="Picture" descr="Supplementary_Figure_S1_CorrelatedVectors_intelligence_sbayesrc_5.pdf"/>
                          <pic:cNvPicPr>
                            <a:picLocks noChangeAspect="1" noChangeArrowheads="1"/>
                          </pic:cNvPicPr>
                        </pic:nvPicPr>
                        <pic:blipFill>
                          <a:blip r:embed="rId6"/>
                          <a:stretch>
                            <a:fillRect/>
                          </a:stretch>
                        </pic:blipFill>
                        <pic:spPr bwMode="auto">
                          <a:xfrm>
                            <a:off x="0" y="0"/>
                            <a:ext cx="5760720" cy="2400300"/>
                          </a:xfrm>
                          <a:prstGeom prst="rect">
                            <a:avLst/>
                          </a:prstGeom>
                          <a:noFill/>
                          <a:ln w="9525">
                            <a:noFill/>
                            <a:headEnd/>
                            <a:tailEnd/>
                          </a:ln>
                        </pic:spPr>
                      </pic:pic>
                    </a:graphicData>
                  </a:graphic>
                </wp:inline>
              </w:drawing>
            </w:r>
          </w:p>
          <w:p w14:paraId="35441042" w14:textId="77777777" w:rsidR="00974136" w:rsidRDefault="00974136" w:rsidP="00AF6BB3">
            <w:pPr>
              <w:pStyle w:val="ImageCaption"/>
              <w:jc w:val="left"/>
              <w:rPr>
                <w:b/>
                <w:bCs/>
              </w:rPr>
            </w:pPr>
            <w:r w:rsidRPr="00974136">
              <w:rPr>
                <w:i w:val="0"/>
                <w:iCs/>
              </w:rPr>
              <w:t>Supplementary Figure S1:</w:t>
            </w:r>
            <w:r w:rsidRPr="00974136">
              <w:rPr>
                <w:b/>
                <w:bCs/>
                <w:i w:val="0"/>
                <w:iCs/>
              </w:rPr>
              <w:t xml:space="preserve"> Indicator-level scaling of PGS associations with </w:t>
            </w:r>
            <m:oMath>
              <m:r>
                <m:rPr>
                  <m:sty m:val="bi"/>
                </m:rPr>
                <w:rPr>
                  <w:rFonts w:ascii="Cambria Math" w:hAnsi="Cambria Math"/>
                </w:rPr>
                <m:t>g</m:t>
              </m:r>
            </m:oMath>
            <w:r w:rsidRPr="00974136">
              <w:rPr>
                <w:b/>
                <w:bCs/>
                <w:i w:val="0"/>
                <w:iCs/>
              </w:rPr>
              <w:t>-loadings.</w:t>
            </w:r>
            <w:r>
              <w:rPr>
                <w:b/>
                <w:bCs/>
              </w:rPr>
              <w:t xml:space="preserve"> </w:t>
            </w:r>
          </w:p>
          <w:p w14:paraId="191D1FFB" w14:textId="0C47B053" w:rsidR="00974136" w:rsidRPr="00974136" w:rsidRDefault="00974136" w:rsidP="00AF6BB3">
            <w:pPr>
              <w:pStyle w:val="ImageCaption"/>
              <w:jc w:val="left"/>
              <w:rPr>
                <w:b/>
                <w:bCs/>
              </w:rPr>
            </w:pPr>
            <w:r>
              <w:rPr>
                <w:b/>
                <w:bCs/>
                <w:iCs/>
              </w:rPr>
              <w:t>(A)</w:t>
            </w:r>
            <w:r>
              <w:rPr>
                <w:iCs/>
              </w:rPr>
              <w:t xml:space="preserve"> UK Biobank (sibling validation sample; </w:t>
            </w:r>
            <m:oMath>
              <m:r>
                <w:rPr>
                  <w:rFonts w:ascii="Cambria Math" w:hAnsi="Cambria Math"/>
                </w:rPr>
                <m:t>k=8</m:t>
              </m:r>
            </m:oMath>
            <w:r>
              <w:rPr>
                <w:iCs/>
              </w:rPr>
              <w:t xml:space="preserve"> cognitive indicators). Scatterplot of standardized indicator </w:t>
            </w:r>
            <m:oMath>
              <m:r>
                <w:rPr>
                  <w:rFonts w:ascii="Cambria Math" w:hAnsi="Cambria Math"/>
                </w:rPr>
                <m:t>g</m:t>
              </m:r>
            </m:oMath>
            <w:r>
              <w:rPr>
                <w:iCs/>
              </w:rPr>
              <w:t xml:space="preserve">-loadings (x-axis; from the cohort measurement model) against standardized PGS–indicator associations (y-axis), shown separately for population and within-family specifications. </w:t>
            </w:r>
            <w:r>
              <w:rPr>
                <w:b/>
                <w:bCs/>
                <w:iCs/>
              </w:rPr>
              <w:t>(B)</w:t>
            </w:r>
            <w:r>
              <w:rPr>
                <w:iCs/>
              </w:rPr>
              <w:t xml:space="preserve"> ABCD (sibling/DZ validation sample; </w:t>
            </w:r>
            <m:oMath>
              <m:r>
                <w:rPr>
                  <w:rFonts w:ascii="Cambria Math" w:hAnsi="Cambria Math"/>
                </w:rPr>
                <m:t>k=10</m:t>
              </m:r>
            </m:oMath>
            <w:r>
              <w:rPr>
                <w:iCs/>
              </w:rPr>
              <w:t xml:space="preserve"> cognitive indicators). Analogous plot using implied indicator loadings on second-order </w:t>
            </w:r>
            <m:oMath>
              <m:r>
                <w:rPr>
                  <w:rFonts w:ascii="Cambria Math" w:hAnsi="Cambria Math"/>
                </w:rPr>
                <m:t>g</m:t>
              </m:r>
            </m:oMath>
            <w:r>
              <w:rPr>
                <w:iCs/>
              </w:rPr>
              <w:t xml:space="preserve"> (product of standardized indicator</w:t>
            </w:r>
            <m:oMath>
              <m:r>
                <w:rPr>
                  <w:rFonts w:ascii="Cambria Math" w:hAnsi="Cambria Math"/>
                </w:rPr>
                <m:t>→</m:t>
              </m:r>
            </m:oMath>
            <w:r>
              <w:rPr>
                <w:iCs/>
              </w:rPr>
              <w:t>domain and domain</w:t>
            </w:r>
            <m:oMath>
              <m:r>
                <w:rPr>
                  <w:rFonts w:ascii="Cambria Math" w:hAnsi="Cambria Math"/>
                </w:rPr>
                <m:t>→g</m:t>
              </m:r>
            </m:oMath>
            <w:r>
              <w:rPr>
                <w:iCs/>
              </w:rPr>
              <w:t xml:space="preserve"> loadings). In each panel, dashed lines show the best-fitting linear trend for each specification. Correlated-vectors coefficients and Fisher-</w:t>
            </w:r>
            <m:oMath>
              <m:r>
                <w:rPr>
                  <w:rFonts w:ascii="Cambria Math" w:hAnsi="Cambria Math"/>
                </w:rPr>
                <m:t>z</m:t>
              </m:r>
            </m:oMath>
            <w:r>
              <w:rPr>
                <w:iCs/>
              </w:rPr>
              <w:t xml:space="preserve"> confidence intervals are reported in the text; confidence intervals reflect uncertainty due to the small number of indicators (</w:t>
            </w:r>
            <m:oMath>
              <m:r>
                <w:rPr>
                  <w:rFonts w:ascii="Cambria Math" w:hAnsi="Cambria Math"/>
                </w:rPr>
                <m:t>k</m:t>
              </m:r>
            </m:oMath>
            <w:r>
              <w:rPr>
                <w:iCs/>
              </w:rPr>
              <w:t>) rather than sampling error in individual regression estimates.</w:t>
            </w:r>
          </w:p>
        </w:tc>
      </w:tr>
    </w:tbl>
    <w:bookmarkEnd w:id="5"/>
    <w:p w14:paraId="5EDBD1E0" w14:textId="6A29C351" w:rsidR="00974136" w:rsidRDefault="00974136" w:rsidP="00AF6BB3">
      <w:pPr>
        <w:pStyle w:val="BodyText"/>
        <w:jc w:val="left"/>
      </w:pPr>
      <w:r>
        <w:t>Results are displayed in Figure </w:t>
      </w:r>
      <w:hyperlink w:anchor="fig:cv_scaling_g">
        <w:r>
          <w:rPr>
            <w:rStyle w:val="Hyperlink"/>
          </w:rPr>
          <w:t>S1</w:t>
        </w:r>
      </w:hyperlink>
      <w:r>
        <w:t xml:space="preserve">. Empirically, the correlated-vectors coefficients were strongly positive in UKB, indicating that indicators with higher </w:t>
      </w:r>
      <m:oMath>
        <m:r>
          <w:rPr>
            <w:rFonts w:ascii="Cambria Math" w:hAnsi="Cambria Math"/>
          </w:rPr>
          <m:t>g</m:t>
        </m:r>
      </m:oMath>
      <w:r>
        <w:t xml:space="preserve">-loadings tended to show stronger PGS associations (population: </w:t>
      </w:r>
      <m:oMath>
        <m:r>
          <w:rPr>
            <w:rFonts w:ascii="Cambria Math" w:hAnsi="Cambria Math"/>
          </w:rPr>
          <m:t>r</m:t>
        </m:r>
        <m:r>
          <m:rPr>
            <m:sty m:val="p"/>
          </m:rPr>
          <w:rPr>
            <w:rFonts w:ascii="Cambria Math" w:hAnsi="Cambria Math"/>
          </w:rPr>
          <m:t>=</m:t>
        </m:r>
        <m:r>
          <w:rPr>
            <w:rFonts w:ascii="Cambria Math" w:hAnsi="Cambria Math"/>
          </w:rPr>
          <m:t>0.966</m:t>
        </m:r>
      </m:oMath>
      <w:r>
        <w:t xml:space="preserve">, 95% CI </w:t>
      </w:r>
      <m:oMath>
        <m:r>
          <m:rPr>
            <m:sty m:val="p"/>
          </m:rPr>
          <w:rPr>
            <w:rFonts w:ascii="Cambria Math" w:hAnsi="Cambria Math"/>
          </w:rPr>
          <m:t>[</m:t>
        </m:r>
        <m:r>
          <w:rPr>
            <w:rFonts w:ascii="Cambria Math" w:hAnsi="Cambria Math"/>
          </w:rPr>
          <m:t>0.82</m:t>
        </m:r>
        <m:r>
          <m:rPr>
            <m:sty m:val="p"/>
          </m:rPr>
          <w:rPr>
            <w:rFonts w:ascii="Cambria Math" w:hAnsi="Cambria Math"/>
          </w:rPr>
          <m:t>,</m:t>
        </m:r>
        <m:r>
          <w:rPr>
            <w:rFonts w:ascii="Cambria Math" w:hAnsi="Cambria Math"/>
          </w:rPr>
          <m:t> 0.99</m:t>
        </m:r>
        <m:r>
          <m:rPr>
            <m:sty m:val="p"/>
          </m:rPr>
          <w:rPr>
            <w:rFonts w:ascii="Cambria Math" w:hAnsi="Cambria Math"/>
          </w:rPr>
          <m:t>]</m:t>
        </m:r>
      </m:oMath>
      <w:r>
        <w:t xml:space="preserve">; within-family: </w:t>
      </w:r>
      <m:oMath>
        <m:r>
          <w:rPr>
            <w:rFonts w:ascii="Cambria Math" w:hAnsi="Cambria Math"/>
          </w:rPr>
          <m:t>r</m:t>
        </m:r>
        <m:r>
          <m:rPr>
            <m:sty m:val="p"/>
          </m:rPr>
          <w:rPr>
            <w:rFonts w:ascii="Cambria Math" w:hAnsi="Cambria Math"/>
          </w:rPr>
          <m:t>=</m:t>
        </m:r>
        <m:r>
          <w:rPr>
            <w:rFonts w:ascii="Cambria Math" w:hAnsi="Cambria Math"/>
          </w:rPr>
          <m:t>0.930</m:t>
        </m:r>
      </m:oMath>
      <w:r>
        <w:t xml:space="preserve">, 95% CI </w:t>
      </w:r>
      <m:oMath>
        <m:r>
          <m:rPr>
            <m:sty m:val="p"/>
          </m:rPr>
          <w:rPr>
            <w:rFonts w:ascii="Cambria Math" w:hAnsi="Cambria Math"/>
          </w:rPr>
          <m:t>[</m:t>
        </m:r>
        <m:r>
          <w:rPr>
            <w:rFonts w:ascii="Cambria Math" w:hAnsi="Cambria Math"/>
          </w:rPr>
          <m:t>0.65</m:t>
        </m:r>
        <m:r>
          <m:rPr>
            <m:sty m:val="p"/>
          </m:rPr>
          <w:rPr>
            <w:rFonts w:ascii="Cambria Math" w:hAnsi="Cambria Math"/>
          </w:rPr>
          <m:t>,</m:t>
        </m:r>
        <m:r>
          <w:rPr>
            <w:rFonts w:ascii="Cambria Math" w:hAnsi="Cambria Math"/>
          </w:rPr>
          <m:t> 0.99</m:t>
        </m:r>
        <m:r>
          <m:rPr>
            <m:sty m:val="p"/>
          </m:rPr>
          <w:rPr>
            <w:rFonts w:ascii="Cambria Math" w:hAnsi="Cambria Math"/>
          </w:rPr>
          <m:t>]</m:t>
        </m:r>
      </m:oMath>
      <w:r>
        <w:t>; Fisher-</w:t>
      </w:r>
      <m:oMath>
        <m:r>
          <w:rPr>
            <w:rFonts w:ascii="Cambria Math" w:hAnsi="Cambria Math"/>
          </w:rPr>
          <m:t>z</m:t>
        </m:r>
      </m:oMath>
      <w:r>
        <w:t xml:space="preserve"> CIs with </w:t>
      </w:r>
      <m:oMath>
        <m:r>
          <w:rPr>
            <w:rFonts w:ascii="Cambria Math" w:hAnsi="Cambria Math"/>
          </w:rPr>
          <m:t>k</m:t>
        </m:r>
        <m:r>
          <m:rPr>
            <m:sty m:val="p"/>
          </m:rPr>
          <w:rPr>
            <w:rFonts w:ascii="Cambria Math" w:hAnsi="Cambria Math"/>
          </w:rPr>
          <m:t>=</m:t>
        </m:r>
        <m:r>
          <w:rPr>
            <w:rFonts w:ascii="Cambria Math" w:hAnsi="Cambria Math"/>
          </w:rPr>
          <m:t>8</m:t>
        </m:r>
      </m:oMath>
      <w:r>
        <w:t xml:space="preserve">). In ABCD, point estimates were also positive but less precise given </w:t>
      </w:r>
      <m:oMath>
        <m:r>
          <w:rPr>
            <w:rFonts w:ascii="Cambria Math" w:hAnsi="Cambria Math"/>
          </w:rPr>
          <m:t>k</m:t>
        </m:r>
        <m:r>
          <m:rPr>
            <m:sty m:val="p"/>
          </m:rPr>
          <w:rPr>
            <w:rFonts w:ascii="Cambria Math" w:hAnsi="Cambria Math"/>
          </w:rPr>
          <m:t>=</m:t>
        </m:r>
        <m:r>
          <w:rPr>
            <w:rFonts w:ascii="Cambria Math" w:hAnsi="Cambria Math"/>
          </w:rPr>
          <m:t>10</m:t>
        </m:r>
      </m:oMath>
      <w:r>
        <w:t xml:space="preserve">, particularly for the within-family specification (population: </w:t>
      </w:r>
      <m:oMath>
        <m:r>
          <w:rPr>
            <w:rFonts w:ascii="Cambria Math" w:hAnsi="Cambria Math"/>
          </w:rPr>
          <m:t>r</m:t>
        </m:r>
        <m:r>
          <m:rPr>
            <m:sty m:val="p"/>
          </m:rPr>
          <w:rPr>
            <w:rFonts w:ascii="Cambria Math" w:hAnsi="Cambria Math"/>
          </w:rPr>
          <m:t>=</m:t>
        </m:r>
        <m:r>
          <w:rPr>
            <w:rFonts w:ascii="Cambria Math" w:hAnsi="Cambria Math"/>
          </w:rPr>
          <m:t>0.658</m:t>
        </m:r>
      </m:oMath>
      <w:r>
        <w:t xml:space="preserve">, 95% CI </w:t>
      </w:r>
      <m:oMath>
        <m:r>
          <m:rPr>
            <m:sty m:val="p"/>
          </m:rPr>
          <w:rPr>
            <w:rFonts w:ascii="Cambria Math" w:hAnsi="Cambria Math"/>
          </w:rPr>
          <m:t>[</m:t>
        </m:r>
        <m:r>
          <w:rPr>
            <w:rFonts w:ascii="Cambria Math" w:hAnsi="Cambria Math"/>
          </w:rPr>
          <m:t>0.05</m:t>
        </m:r>
        <m:r>
          <m:rPr>
            <m:sty m:val="p"/>
          </m:rPr>
          <w:rPr>
            <w:rFonts w:ascii="Cambria Math" w:hAnsi="Cambria Math"/>
          </w:rPr>
          <m:t>,</m:t>
        </m:r>
        <m:r>
          <w:rPr>
            <w:rFonts w:ascii="Cambria Math" w:hAnsi="Cambria Math"/>
          </w:rPr>
          <m:t> 0.91</m:t>
        </m:r>
        <m:r>
          <m:rPr>
            <m:sty m:val="p"/>
          </m:rPr>
          <w:rPr>
            <w:rFonts w:ascii="Cambria Math" w:hAnsi="Cambria Math"/>
          </w:rPr>
          <m:t>]</m:t>
        </m:r>
      </m:oMath>
      <w:r>
        <w:t xml:space="preserve">; within-family: </w:t>
      </w:r>
      <m:oMath>
        <m:r>
          <w:rPr>
            <w:rFonts w:ascii="Cambria Math" w:hAnsi="Cambria Math"/>
          </w:rPr>
          <m:t>r</m:t>
        </m:r>
        <m:r>
          <m:rPr>
            <m:sty m:val="p"/>
          </m:rPr>
          <w:rPr>
            <w:rFonts w:ascii="Cambria Math" w:hAnsi="Cambria Math"/>
          </w:rPr>
          <m:t>=</m:t>
        </m:r>
        <m:r>
          <w:rPr>
            <w:rFonts w:ascii="Cambria Math" w:hAnsi="Cambria Math"/>
          </w:rPr>
          <m:t>0.463</m:t>
        </m:r>
      </m:oMath>
      <w:r>
        <w:t xml:space="preserve">, 95% CI </w:t>
      </w:r>
      <m:oMath>
        <m:r>
          <m:rPr>
            <m:sty m:val="p"/>
          </m:rPr>
          <w:rPr>
            <w:rFonts w:ascii="Cambria Math" w:hAnsi="Cambria Math"/>
          </w:rPr>
          <m:t>[-</m:t>
        </m:r>
        <m:r>
          <w:rPr>
            <w:rFonts w:ascii="Cambria Math" w:hAnsi="Cambria Math"/>
          </w:rPr>
          <m:t>0.24</m:t>
        </m:r>
        <m:r>
          <m:rPr>
            <m:sty m:val="p"/>
          </m:rPr>
          <w:rPr>
            <w:rFonts w:ascii="Cambria Math" w:hAnsi="Cambria Math"/>
          </w:rPr>
          <m:t>,</m:t>
        </m:r>
        <m:r>
          <w:rPr>
            <w:rFonts w:ascii="Cambria Math" w:hAnsi="Cambria Math"/>
          </w:rPr>
          <m:t> 0.85</m:t>
        </m:r>
        <m:r>
          <m:rPr>
            <m:sty m:val="p"/>
          </m:rPr>
          <w:rPr>
            <w:rFonts w:ascii="Cambria Math" w:hAnsi="Cambria Math"/>
          </w:rPr>
          <m:t>]</m:t>
        </m:r>
      </m:oMath>
      <w:r>
        <w:t xml:space="preserve">). Thus, while ABCD estimates are numerically lower, they are broadly consistent with positive scaling and should not be overinterpreted given the wide confidence intervals implied by small </w:t>
      </w:r>
      <m:oMath>
        <m:r>
          <w:rPr>
            <w:rFonts w:ascii="Cambria Math" w:hAnsi="Cambria Math"/>
          </w:rPr>
          <m:t>k</m:t>
        </m:r>
      </m:oMath>
      <w:r>
        <w:t>.</w:t>
      </w:r>
    </w:p>
    <w:p w14:paraId="320F567E" w14:textId="77777777" w:rsidR="00974136" w:rsidRDefault="00974136" w:rsidP="00AF6BB3">
      <w:pPr>
        <w:pStyle w:val="Heading2"/>
      </w:pPr>
      <w:bookmarkStart w:id="6" w:name="conclusion"/>
      <w:bookmarkEnd w:id="4"/>
      <w:r>
        <w:lastRenderedPageBreak/>
        <w:t>Conclusion</w:t>
      </w:r>
    </w:p>
    <w:p w14:paraId="1175EAA1" w14:textId="77777777" w:rsidR="00974136" w:rsidRDefault="00974136" w:rsidP="00AF6BB3">
      <w:pPr>
        <w:pStyle w:val="FirstParagraph"/>
        <w:jc w:val="left"/>
      </w:pPr>
      <w:r>
        <w:t>The latent</w:t>
      </w:r>
      <w:r>
        <w:rPr>
          <w:rFonts w:ascii="Cambria Math" w:hAnsi="Cambria Math" w:cs="Cambria Math"/>
        </w:rPr>
        <w:t>‑</w:t>
      </w:r>
      <w:r>
        <w:t>SEM within</w:t>
      </w:r>
      <w:r>
        <w:rPr>
          <w:rFonts w:ascii="Cambria Math" w:hAnsi="Cambria Math" w:cs="Cambria Math"/>
        </w:rPr>
        <w:t>‑</w:t>
      </w:r>
      <w:r>
        <w:t>family coefficients align with the reliability</w:t>
      </w:r>
      <w:r>
        <w:rPr>
          <w:rFonts w:ascii="Cambria Math" w:hAnsi="Cambria Math" w:cs="Cambria Math"/>
        </w:rPr>
        <w:t>‑</w:t>
      </w:r>
      <w:r>
        <w:t>adjusted within</w:t>
      </w:r>
      <w:r>
        <w:rPr>
          <w:rFonts w:ascii="Cambria Math" w:hAnsi="Cambria Math" w:cs="Cambria Math"/>
        </w:rPr>
        <w:t>‑</w:t>
      </w:r>
      <w:r>
        <w:t>family estimates and with the independent CPS estimator. These concordances indicate that (</w:t>
      </w:r>
      <w:proofErr w:type="spellStart"/>
      <w:r>
        <w:t>i</w:t>
      </w:r>
      <w:proofErr w:type="spellEnd"/>
      <w:r>
        <w:t>) the reliability correction used in the main text is not inflating effects under realistic multidimensionality, and (ii) the MIMIC/common</w:t>
      </w:r>
      <w:r>
        <w:rPr>
          <w:rFonts w:ascii="Cambria Math" w:hAnsi="Cambria Math" w:cs="Cambria Math"/>
        </w:rPr>
        <w:t>‑</w:t>
      </w:r>
      <w:r>
        <w:t xml:space="preserve">path premise is empirically supported by metric invariance and the absence of material DIF. As an additional indicator-level diagnostic, PGS associations across cognitive subtests scale positively with the subtests’ </w:t>
      </w:r>
      <m:oMath>
        <m:r>
          <w:rPr>
            <w:rFonts w:ascii="Cambria Math" w:hAnsi="Cambria Math"/>
          </w:rPr>
          <m:t>g</m:t>
        </m:r>
      </m:oMath>
      <w:r>
        <w:t>-loadings within each cohort.</w:t>
      </w:r>
    </w:p>
    <w:bookmarkEnd w:id="0"/>
    <w:bookmarkEnd w:id="6"/>
    <w:p w14:paraId="423759FE" w14:textId="77777777" w:rsidR="00BE210D" w:rsidRDefault="00BE210D" w:rsidP="00AF6BB3">
      <w:pPr>
        <w:jc w:val="left"/>
      </w:pPr>
    </w:p>
    <w:sectPr w:rsidR="00BE210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19107" w14:textId="77777777" w:rsidR="002A5A14" w:rsidRDefault="002A5A14" w:rsidP="00974136">
      <w:pPr>
        <w:spacing w:after="0"/>
      </w:pPr>
      <w:r>
        <w:separator/>
      </w:r>
    </w:p>
  </w:endnote>
  <w:endnote w:type="continuationSeparator" w:id="0">
    <w:p w14:paraId="0C89213D" w14:textId="77777777" w:rsidR="002A5A14" w:rsidRDefault="002A5A14" w:rsidP="0097413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0E152C" w14:textId="77777777" w:rsidR="002A5A14" w:rsidRDefault="002A5A14" w:rsidP="00974136">
      <w:pPr>
        <w:spacing w:after="0"/>
      </w:pPr>
      <w:r>
        <w:separator/>
      </w:r>
    </w:p>
  </w:footnote>
  <w:footnote w:type="continuationSeparator" w:id="0">
    <w:p w14:paraId="74160903" w14:textId="77777777" w:rsidR="002A5A14" w:rsidRDefault="002A5A14" w:rsidP="00974136">
      <w:pPr>
        <w:spacing w:after="0"/>
      </w:pPr>
      <w:r>
        <w:continuationSeparator/>
      </w:r>
    </w:p>
  </w:footnote>
  <w:footnote w:id="1">
    <w:p w14:paraId="5D461B30" w14:textId="77777777" w:rsidR="00974136" w:rsidRDefault="00974136" w:rsidP="00974136">
      <w:pPr>
        <w:pStyle w:val="FootnoteText"/>
      </w:pPr>
      <w:r>
        <w:rPr>
          <w:rStyle w:val="FootnoteReference"/>
        </w:rPr>
        <w:footnoteRef/>
      </w:r>
      <w:r>
        <w:t xml:space="preserve"> For UK Biobank, indicator </w:t>
      </w:r>
      <m:oMath>
        <m:r>
          <w:rPr>
            <w:rFonts w:ascii="Cambria Math" w:hAnsi="Cambria Math"/>
          </w:rPr>
          <m:t>g</m:t>
        </m:r>
      </m:oMath>
      <w:r>
        <w:t xml:space="preserve">-loadings were taken from the standardized solution of the single-factor confirmatory factor model fitted to the eight cognitive indicators used in the latent-SEM analyses above. For ABCD, we used the standardized loadings implied by the second-order model in which ten cognitive indicators load on their respective first-order domain factors, which in turn load on second-order </w:t>
      </w:r>
      <m:oMath>
        <m:r>
          <w:rPr>
            <w:rFonts w:ascii="Cambria Math" w:hAnsi="Cambria Math"/>
          </w:rPr>
          <m:t>g</m:t>
        </m:r>
      </m:oMath>
      <w:r>
        <w:t xml:space="preserve">. For each ABCD indicator, the implied loading on </w:t>
      </w:r>
      <m:oMath>
        <m:r>
          <w:rPr>
            <w:rFonts w:ascii="Cambria Math" w:hAnsi="Cambria Math"/>
          </w:rPr>
          <m:t>g</m:t>
        </m:r>
      </m:oMath>
      <w:r>
        <w:t xml:space="preserve"> was computed as the product of the standardized indicator</w:t>
      </w:r>
      <m:oMath>
        <m:r>
          <m:rPr>
            <m:sty m:val="p"/>
          </m:rPr>
          <w:rPr>
            <w:rFonts w:ascii="Cambria Math" w:hAnsi="Cambria Math"/>
          </w:rPr>
          <m:t>→</m:t>
        </m:r>
      </m:oMath>
      <w:r>
        <w:t>domain loading and the standardized domain</w:t>
      </w:r>
      <m:oMath>
        <m:r>
          <m:rPr>
            <m:sty m:val="p"/>
          </m:rPr>
          <w:rPr>
            <w:rFonts w:ascii="Cambria Math" w:hAnsi="Cambria Math"/>
          </w:rPr>
          <m:t>→</m:t>
        </m:r>
        <m:r>
          <w:rPr>
            <w:rFonts w:ascii="Cambria Math" w:hAnsi="Cambria Math"/>
          </w:rPr>
          <m:t>g</m:t>
        </m:r>
      </m:oMath>
      <w:r>
        <w:t xml:space="preserve"> loading.</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136"/>
    <w:rsid w:val="00041A10"/>
    <w:rsid w:val="002671DA"/>
    <w:rsid w:val="00271D2F"/>
    <w:rsid w:val="002A5A14"/>
    <w:rsid w:val="00353C65"/>
    <w:rsid w:val="00494EEA"/>
    <w:rsid w:val="004A29B0"/>
    <w:rsid w:val="0052680E"/>
    <w:rsid w:val="00540F3E"/>
    <w:rsid w:val="00542D4B"/>
    <w:rsid w:val="0072794C"/>
    <w:rsid w:val="00727AD6"/>
    <w:rsid w:val="007634AC"/>
    <w:rsid w:val="007A5FA6"/>
    <w:rsid w:val="008814FD"/>
    <w:rsid w:val="00974136"/>
    <w:rsid w:val="00AC3AE5"/>
    <w:rsid w:val="00AF6BB3"/>
    <w:rsid w:val="00BE210D"/>
    <w:rsid w:val="00E6514D"/>
    <w:rsid w:val="00EC5E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30F77A"/>
  <w15:chartTrackingRefBased/>
  <w15:docId w15:val="{514C7430-4607-FE4F-A6D3-C01CD0C15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136"/>
    <w:pPr>
      <w:spacing w:after="200" w:line="240" w:lineRule="auto"/>
      <w:jc w:val="both"/>
    </w:pPr>
    <w:rPr>
      <w:rFonts w:eastAsiaTheme="minorEastAsia"/>
      <w:kern w:val="0"/>
      <w:sz w:val="20"/>
      <w:szCs w:val="20"/>
      <w:lang w:eastAsia="zh-CN"/>
      <w14:ligatures w14:val="none"/>
    </w:rPr>
  </w:style>
  <w:style w:type="paragraph" w:styleId="Heading1">
    <w:name w:val="heading 1"/>
    <w:basedOn w:val="Normal"/>
    <w:next w:val="Normal"/>
    <w:link w:val="Heading1Char"/>
    <w:uiPriority w:val="9"/>
    <w:qFormat/>
    <w:rsid w:val="00974136"/>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unhideWhenUsed/>
    <w:qFormat/>
    <w:rsid w:val="00974136"/>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974136"/>
    <w:pPr>
      <w:keepNext/>
      <w:keepLines/>
      <w:spacing w:before="160" w:after="80" w:line="278" w:lineRule="auto"/>
      <w:jc w:val="left"/>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974136"/>
    <w:pPr>
      <w:keepNext/>
      <w:keepLines/>
      <w:spacing w:before="80" w:after="40" w:line="278" w:lineRule="auto"/>
      <w:jc w:val="left"/>
      <w:outlineLvl w:val="3"/>
    </w:pPr>
    <w:rPr>
      <w:rFonts w:eastAsiaTheme="majorEastAsia"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974136"/>
    <w:pPr>
      <w:keepNext/>
      <w:keepLines/>
      <w:spacing w:before="80" w:after="40" w:line="278" w:lineRule="auto"/>
      <w:jc w:val="left"/>
      <w:outlineLvl w:val="4"/>
    </w:pPr>
    <w:rPr>
      <w:rFonts w:eastAsiaTheme="majorEastAsia"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974136"/>
    <w:pPr>
      <w:keepNext/>
      <w:keepLines/>
      <w:spacing w:before="40" w:after="0" w:line="278" w:lineRule="auto"/>
      <w:jc w:val="left"/>
      <w:outlineLvl w:val="5"/>
    </w:pPr>
    <w:rPr>
      <w:rFonts w:eastAsiaTheme="majorEastAsia"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974136"/>
    <w:pPr>
      <w:keepNext/>
      <w:keepLines/>
      <w:spacing w:before="40" w:after="0" w:line="278" w:lineRule="auto"/>
      <w:jc w:val="left"/>
      <w:outlineLvl w:val="6"/>
    </w:pPr>
    <w:rPr>
      <w:rFonts w:eastAsiaTheme="majorEastAsia"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974136"/>
    <w:pPr>
      <w:keepNext/>
      <w:keepLines/>
      <w:spacing w:after="0" w:line="278" w:lineRule="auto"/>
      <w:jc w:val="left"/>
      <w:outlineLvl w:val="7"/>
    </w:pPr>
    <w:rPr>
      <w:rFonts w:eastAsiaTheme="majorEastAsia"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974136"/>
    <w:pPr>
      <w:keepNext/>
      <w:keepLines/>
      <w:spacing w:after="0" w:line="278" w:lineRule="auto"/>
      <w:jc w:val="left"/>
      <w:outlineLvl w:val="8"/>
    </w:pPr>
    <w:rPr>
      <w:rFonts w:eastAsiaTheme="majorEastAsia"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41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741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41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41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41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41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41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41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4136"/>
    <w:rPr>
      <w:rFonts w:eastAsiaTheme="majorEastAsia" w:cstheme="majorBidi"/>
      <w:color w:val="272727" w:themeColor="text1" w:themeTint="D8"/>
    </w:rPr>
  </w:style>
  <w:style w:type="paragraph" w:styleId="Title">
    <w:name w:val="Title"/>
    <w:basedOn w:val="Normal"/>
    <w:next w:val="Normal"/>
    <w:link w:val="TitleChar"/>
    <w:uiPriority w:val="10"/>
    <w:qFormat/>
    <w:rsid w:val="00974136"/>
    <w:pPr>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9741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4136"/>
    <w:pPr>
      <w:numPr>
        <w:ilvl w:val="1"/>
      </w:numPr>
      <w:spacing w:after="160" w:line="278" w:lineRule="auto"/>
      <w:jc w:val="left"/>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9741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4136"/>
    <w:pPr>
      <w:spacing w:before="160" w:after="160" w:line="278" w:lineRule="auto"/>
      <w:jc w:val="center"/>
    </w:pPr>
    <w:rPr>
      <w:rFonts w:eastAsiaTheme="minorHAns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974136"/>
    <w:rPr>
      <w:i/>
      <w:iCs/>
      <w:color w:val="404040" w:themeColor="text1" w:themeTint="BF"/>
    </w:rPr>
  </w:style>
  <w:style w:type="paragraph" w:styleId="ListParagraph">
    <w:name w:val="List Paragraph"/>
    <w:basedOn w:val="Normal"/>
    <w:uiPriority w:val="34"/>
    <w:qFormat/>
    <w:rsid w:val="00974136"/>
    <w:pPr>
      <w:spacing w:after="160" w:line="278" w:lineRule="auto"/>
      <w:ind w:left="720"/>
      <w:contextualSpacing/>
      <w:jc w:val="left"/>
    </w:pPr>
    <w:rPr>
      <w:rFonts w:eastAsiaTheme="minorHAnsi"/>
      <w:kern w:val="2"/>
      <w:sz w:val="24"/>
      <w:szCs w:val="24"/>
      <w:lang w:eastAsia="en-US"/>
      <w14:ligatures w14:val="standardContextual"/>
    </w:rPr>
  </w:style>
  <w:style w:type="character" w:styleId="IntenseEmphasis">
    <w:name w:val="Intense Emphasis"/>
    <w:basedOn w:val="DefaultParagraphFont"/>
    <w:uiPriority w:val="21"/>
    <w:qFormat/>
    <w:rsid w:val="00974136"/>
    <w:rPr>
      <w:i/>
      <w:iCs/>
      <w:color w:val="0F4761" w:themeColor="accent1" w:themeShade="BF"/>
    </w:rPr>
  </w:style>
  <w:style w:type="paragraph" w:styleId="IntenseQuote">
    <w:name w:val="Intense Quote"/>
    <w:basedOn w:val="Normal"/>
    <w:next w:val="Normal"/>
    <w:link w:val="IntenseQuoteChar"/>
    <w:uiPriority w:val="30"/>
    <w:qFormat/>
    <w:rsid w:val="0097413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974136"/>
    <w:rPr>
      <w:i/>
      <w:iCs/>
      <w:color w:val="0F4761" w:themeColor="accent1" w:themeShade="BF"/>
    </w:rPr>
  </w:style>
  <w:style w:type="character" w:styleId="IntenseReference">
    <w:name w:val="Intense Reference"/>
    <w:basedOn w:val="DefaultParagraphFont"/>
    <w:uiPriority w:val="32"/>
    <w:qFormat/>
    <w:rsid w:val="00974136"/>
    <w:rPr>
      <w:b/>
      <w:bCs/>
      <w:smallCaps/>
      <w:color w:val="0F4761" w:themeColor="accent1" w:themeShade="BF"/>
      <w:spacing w:val="5"/>
    </w:rPr>
  </w:style>
  <w:style w:type="paragraph" w:styleId="BodyText">
    <w:name w:val="Body Text"/>
    <w:basedOn w:val="Normal"/>
    <w:link w:val="BodyTextChar"/>
    <w:qFormat/>
    <w:rsid w:val="00974136"/>
    <w:pPr>
      <w:spacing w:before="180" w:after="180"/>
    </w:pPr>
  </w:style>
  <w:style w:type="character" w:customStyle="1" w:styleId="BodyTextChar">
    <w:name w:val="Body Text Char"/>
    <w:basedOn w:val="DefaultParagraphFont"/>
    <w:link w:val="BodyText"/>
    <w:rsid w:val="00974136"/>
    <w:rPr>
      <w:rFonts w:eastAsiaTheme="minorEastAsia"/>
      <w:kern w:val="0"/>
      <w:sz w:val="20"/>
      <w:szCs w:val="20"/>
      <w:lang w:eastAsia="zh-CN"/>
      <w14:ligatures w14:val="none"/>
    </w:rPr>
  </w:style>
  <w:style w:type="paragraph" w:customStyle="1" w:styleId="FirstParagraph">
    <w:name w:val="First Paragraph"/>
    <w:basedOn w:val="BodyText"/>
    <w:next w:val="BodyText"/>
    <w:qFormat/>
    <w:rsid w:val="00974136"/>
  </w:style>
  <w:style w:type="paragraph" w:customStyle="1" w:styleId="Compact">
    <w:name w:val="Compact"/>
    <w:basedOn w:val="BodyText"/>
    <w:qFormat/>
    <w:rsid w:val="00974136"/>
    <w:pPr>
      <w:spacing w:before="36" w:after="36"/>
    </w:pPr>
  </w:style>
  <w:style w:type="paragraph" w:styleId="FootnoteText">
    <w:name w:val="footnote text"/>
    <w:basedOn w:val="Normal"/>
    <w:link w:val="FootnoteTextChar"/>
    <w:uiPriority w:val="9"/>
    <w:unhideWhenUsed/>
    <w:qFormat/>
    <w:rsid w:val="00974136"/>
  </w:style>
  <w:style w:type="character" w:customStyle="1" w:styleId="FootnoteTextChar">
    <w:name w:val="Footnote Text Char"/>
    <w:basedOn w:val="DefaultParagraphFont"/>
    <w:link w:val="FootnoteText"/>
    <w:uiPriority w:val="9"/>
    <w:rsid w:val="00974136"/>
    <w:rPr>
      <w:rFonts w:eastAsiaTheme="minorEastAsia"/>
      <w:kern w:val="0"/>
      <w:sz w:val="20"/>
      <w:szCs w:val="20"/>
      <w:lang w:eastAsia="zh-CN"/>
      <w14:ligatures w14:val="none"/>
    </w:rPr>
  </w:style>
  <w:style w:type="table" w:customStyle="1" w:styleId="Table">
    <w:name w:val="Table"/>
    <w:semiHidden/>
    <w:unhideWhenUsed/>
    <w:qFormat/>
    <w:rsid w:val="00974136"/>
    <w:pPr>
      <w:spacing w:after="200" w:line="240" w:lineRule="auto"/>
      <w:jc w:val="both"/>
    </w:pPr>
    <w:rPr>
      <w:rFonts w:eastAsiaTheme="minorEastAsia"/>
      <w:kern w:val="0"/>
      <w:sz w:val="20"/>
      <w:szCs w:val="20"/>
      <w:lang w:eastAsia="zh-CN"/>
      <w14:ligatures w14:val="none"/>
    </w:rPr>
    <w:tblPr>
      <w:tblInd w:w="0" w:type="dxa"/>
      <w:tblCellMar>
        <w:top w:w="0" w:type="dxa"/>
        <w:left w:w="108" w:type="dxa"/>
        <w:bottom w:w="0" w:type="dxa"/>
        <w:right w:w="108" w:type="dxa"/>
      </w:tblCellMar>
    </w:tblPr>
    <w:tblStylePr w:type="firstRow">
      <w:tblPr/>
      <w:tcPr>
        <w:tcBorders>
          <w:bottom w:val="single" w:sz="0" w:space="0" w:color="auto"/>
        </w:tcBorders>
        <w:vAlign w:val="bottom"/>
      </w:tcPr>
    </w:tblStylePr>
  </w:style>
  <w:style w:type="paragraph" w:customStyle="1" w:styleId="ImageCaption">
    <w:name w:val="Image Caption"/>
    <w:basedOn w:val="Caption"/>
    <w:rsid w:val="00974136"/>
    <w:pPr>
      <w:spacing w:after="120"/>
    </w:pPr>
    <w:rPr>
      <w:iCs w:val="0"/>
      <w:color w:val="auto"/>
      <w:sz w:val="20"/>
      <w:szCs w:val="20"/>
    </w:rPr>
  </w:style>
  <w:style w:type="character" w:styleId="FootnoteReference">
    <w:name w:val="footnote reference"/>
    <w:basedOn w:val="DefaultParagraphFont"/>
    <w:rsid w:val="00974136"/>
    <w:rPr>
      <w:vertAlign w:val="superscript"/>
    </w:rPr>
  </w:style>
  <w:style w:type="character" w:styleId="Hyperlink">
    <w:name w:val="Hyperlink"/>
    <w:basedOn w:val="DefaultParagraphFont"/>
    <w:rsid w:val="00974136"/>
    <w:rPr>
      <w:color w:val="156082" w:themeColor="accent1"/>
    </w:rPr>
  </w:style>
  <w:style w:type="paragraph" w:styleId="Caption">
    <w:name w:val="caption"/>
    <w:basedOn w:val="Normal"/>
    <w:next w:val="Normal"/>
    <w:uiPriority w:val="35"/>
    <w:semiHidden/>
    <w:unhideWhenUsed/>
    <w:qFormat/>
    <w:rsid w:val="00974136"/>
    <w:rPr>
      <w:i/>
      <w:iCs/>
      <w:color w:val="0E2841" w:themeColor="text2"/>
      <w:sz w:val="18"/>
      <w:szCs w:val="18"/>
    </w:rPr>
  </w:style>
  <w:style w:type="character" w:styleId="FollowedHyperlink">
    <w:name w:val="FollowedHyperlink"/>
    <w:basedOn w:val="DefaultParagraphFont"/>
    <w:uiPriority w:val="99"/>
    <w:semiHidden/>
    <w:unhideWhenUsed/>
    <w:rsid w:val="00540F3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1500</Words>
  <Characters>8554</Characters>
  <Application>Microsoft Office Word</Application>
  <DocSecurity>0</DocSecurity>
  <Lines>71</Lines>
  <Paragraphs>20</Paragraphs>
  <ScaleCrop>false</ScaleCrop>
  <Company/>
  <LinksUpToDate>false</LinksUpToDate>
  <CharactersWithSpaces>10034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D</dc:creator>
  <cp:keywords/>
  <dc:description/>
  <cp:lastModifiedBy>Rich Rich</cp:lastModifiedBy>
  <cp:revision>6</cp:revision>
  <dcterms:created xsi:type="dcterms:W3CDTF">2026-02-24T08:47:00Z</dcterms:created>
  <dcterms:modified xsi:type="dcterms:W3CDTF">2026-02-25T16:57:00Z</dcterms:modified>
</cp:coreProperties>
</file>