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88E4B" w14:textId="77777777" w:rsidR="00B475A5" w:rsidRDefault="00B475A5" w:rsidP="00CD630E">
      <w:pPr>
        <w:pStyle w:val="Heading1"/>
      </w:pPr>
      <w:r>
        <w:t>Supplement I: Common-Path Slope (CPS) estimator</w:t>
      </w:r>
    </w:p>
    <w:p w14:paraId="6DA7C309" w14:textId="77777777" w:rsidR="00B475A5" w:rsidRDefault="00B475A5" w:rsidP="00CD630E">
      <w:pPr>
        <w:pStyle w:val="Heading2"/>
      </w:pPr>
      <w:bookmarkStart w:id="0" w:name="setup"/>
      <w:r>
        <w:t>Setup</w:t>
      </w:r>
    </w:p>
    <w:p w14:paraId="57F230C5" w14:textId="6FD8688E" w:rsidR="00B475A5" w:rsidRDefault="00B475A5" w:rsidP="00CD630E">
      <w:pPr>
        <w:pStyle w:val="FirstParagraph"/>
        <w:jc w:val="left"/>
      </w:pPr>
      <w:r>
        <w:t xml:space="preserve">Let </w:t>
      </w:r>
      <m:oMath>
        <m:r>
          <w:rPr>
            <w:rFonts w:ascii="Cambria Math" w:hAnsi="Cambria Math"/>
          </w:rPr>
          <m:t>g</m:t>
        </m:r>
      </m:oMath>
      <w:r>
        <w:t xml:space="preserve"> denote latent general cognitive ability (</w:t>
      </w:r>
      <m:oMath>
        <m:r>
          <m:rPr>
            <m:sty m:val="p"/>
          </m:rPr>
          <w:rPr>
            <w:rFonts w:ascii="Cambria Math" w:hAnsi="Cambria Math"/>
          </w:rPr>
          <m:t>var=</m:t>
        </m:r>
        <m:r>
          <w:rPr>
            <w:rFonts w:ascii="Cambria Math" w:hAnsi="Cambria Math"/>
          </w:rPr>
          <m:t>1</m:t>
        </m:r>
      </m:oMath>
      <w:r>
        <w:t xml:space="preserve">). The observed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m:rPr>
                <m:nor/>
              </m:rPr>
              <m:t>obs</m:t>
            </m:r>
          </m:sub>
        </m:sSub>
      </m:oMath>
      <w:r>
        <w:t xml:space="preserve"> and the </w:t>
      </w:r>
      <w:r w:rsidR="00CD630E">
        <w:t>standardized</w:t>
      </w:r>
      <w:r>
        <w:t xml:space="preserve"> PGS are noisy proxies for </w:t>
      </w:r>
      <m:oMath>
        <m:r>
          <w:rPr>
            <w:rFonts w:ascii="Cambria Math" w:hAnsi="Cambria Math"/>
          </w:rPr>
          <m:t>g</m:t>
        </m:r>
      </m:oMath>
      <w:r>
        <w:t>:</w:t>
      </w:r>
    </w:p>
    <w:p w14:paraId="0145E331" w14:textId="77777777" w:rsidR="00B475A5" w:rsidRDefault="00000000" w:rsidP="00CD630E">
      <w:pPr>
        <w:pStyle w:val="BodyText"/>
        <w:jc w:val="left"/>
      </w:pPr>
      <m:oMathPara>
        <m:oMathParaPr>
          <m:jc m:val="center"/>
        </m:oMathParaPr>
        <m:oMath>
          <m:eqArr>
            <m:eqArrPr>
              <m:ctrlPr>
                <w:rPr>
                  <w:rFonts w:ascii="Cambria Math" w:hAnsi="Cambria Math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m:rPr>
                      <m:nor/>
                    </m:rPr>
                    <m:t>obs</m:t>
                  </m:r>
                </m:sub>
              </m:sSub>
              <m:r>
                <w:rPr>
                  <w:rFonts w:ascii="Cambria Math" w:hAnsi="Cambria Math"/>
                </w:rPr>
                <m:t>&amp;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</m:rad>
              <m:r>
                <w:rPr>
                  <w:rFonts w:ascii="Cambria Math" w:hAnsi="Cambria Math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</w:rPr>
                    <m:t>g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&amp;</m:t>
              </m:r>
              <m:r>
                <m:rPr>
                  <m:nor/>
                </m:rPr>
                <m:t>PGS</m:t>
              </m:r>
              <m:r>
                <w:rPr>
                  <w:rFonts w:ascii="Cambria Math" w:hAnsi="Cambria Math"/>
                </w:rPr>
                <m:t>&amp;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m:rPr>
                  <m:nor/>
                </m:rPr>
                <m:t>PGS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  <m:r>
                <w:rPr>
                  <w:rFonts w:ascii="Cambria Math" w:hAnsi="Cambria Math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</m:e>
          </m:eqArr>
        </m:oMath>
      </m:oMathPara>
    </w:p>
    <w:p w14:paraId="7129784F" w14:textId="77777777" w:rsidR="00B475A5" w:rsidRDefault="00B475A5" w:rsidP="00CD630E">
      <w:pPr>
        <w:pStyle w:val="FirstParagraph"/>
        <w:jc w:val="left"/>
      </w:pPr>
      <w:r>
        <w:t xml:space="preserve">with standardized variables, </w:t>
      </w:r>
      <m:oMath>
        <m:r>
          <w:rPr>
            <w:rFonts w:ascii="Cambria Math" w:hAnsi="Cambria Math"/>
          </w:rPr>
          <m:t>ρ</m:t>
        </m:r>
        <m:r>
          <m:rPr>
            <m:sty m:val="p"/>
          </m:rPr>
          <w:rPr>
            <w:rFonts w:ascii="Cambria Math" w:hAnsi="Cambria Math"/>
          </w:rPr>
          <m:t>=Rel(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m:rPr>
                <m:nor/>
              </m:rPr>
              <m:t>obs</m:t>
            </m:r>
          </m:sub>
        </m:sSub>
        <m:r>
          <m:rPr>
            <m:sty m:val="p"/>
          </m:rPr>
          <w:rPr>
            <w:rFonts w:ascii="Cambria Math" w:hAnsi="Cambria Math"/>
          </w:rPr>
          <m:t>)∈(</m:t>
        </m:r>
        <m:r>
          <w:rPr>
            <w:rFonts w:ascii="Cambria Math" w:hAns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]</m:t>
        </m:r>
      </m:oMath>
      <w:r>
        <w:t xml:space="preserve">, and errors uncorrelated with </w:t>
      </w:r>
      <m:oMath>
        <m:r>
          <w:rPr>
            <w:rFonts w:ascii="Cambria Math" w:hAnsi="Cambria Math"/>
          </w:rPr>
          <m:t>g</m:t>
        </m:r>
      </m:oMath>
      <w:r>
        <w:t xml:space="preserve">. For each outcome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t xml:space="preserve"> we fit two models with a vector of controls </w:t>
      </w:r>
      <m:oMath>
        <m:r>
          <w:rPr>
            <w:rFonts w:ascii="Cambria Math" w:hAnsi="Cambria Math"/>
          </w:rPr>
          <m:t>X</m:t>
        </m:r>
      </m:oMath>
      <w:r>
        <w:t xml:space="preserve"> (age, sex, </w:t>
      </w:r>
      <m:oMath>
        <m:r>
          <m:rPr>
            <m:nor/>
          </m:rPr>
          <m:t>age</m:t>
        </m:r>
        <m:r>
          <m:rPr>
            <m:sty m:val="p"/>
          </m:rPr>
          <w:rPr>
            <w:rFonts w:ascii="Cambria Math" w:hAnsi="Cambria Math"/>
          </w:rPr>
          <m:t>×</m:t>
        </m:r>
        <m:r>
          <m:rPr>
            <m:nor/>
          </m:rPr>
          <m:t>sex</m:t>
        </m:r>
      </m:oMath>
      <w:r>
        <w:t>, 10 PCs) and standardize both regressors and outcomes beforehand so that coefficients are partial correlations:</w:t>
      </w:r>
    </w:p>
    <w:p w14:paraId="5EF960AA" w14:textId="77777777" w:rsidR="00B475A5" w:rsidRDefault="00000000" w:rsidP="00CD630E">
      <w:pPr>
        <w:pStyle w:val="BodyText"/>
        <w:jc w:val="left"/>
      </w:pPr>
      <m:oMathPara>
        <m:oMathParaPr>
          <m:jc m:val="center"/>
        </m:oMathParaPr>
        <m:oMath>
          <m:eqArr>
            <m:eqArrPr>
              <m:ctrlPr>
                <w:rPr>
                  <w:rFonts w:ascii="Cambria Math" w:hAnsi="Cambria Math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&amp;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m:rPr>
                          <m:nor/>
                        </m:rPr>
                        <m:t>obs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m:rPr>
                      <m:nor/>
                    </m:rPr>
                    <m:t>obs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m:rPr>
                          <m:nor/>
                        </m:rPr>
                        <m:t>obs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m:rPr>
                          <m:nor/>
                        </m:rPr>
                        <m:t>obs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</m:e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&amp;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m:rPr>
                      <m:nor/>
                    </m:rPr>
                    <m:t>PGS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  <m:r>
                <m:rPr>
                  <m:nor/>
                </m:rPr>
                <m:t>PGS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m:rPr>
                      <m:nor/>
                    </m:rPr>
                    <m:t>PGS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m:rPr>
                      <m:nor/>
                    </m:rPr>
                    <m:t>PGS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e>
          </m:eqArr>
        </m:oMath>
      </m:oMathPara>
    </w:p>
    <w:p w14:paraId="1FFE49A1" w14:textId="77777777" w:rsidR="00B475A5" w:rsidRDefault="00B475A5" w:rsidP="00CD630E">
      <w:pPr>
        <w:pStyle w:val="FirstParagraph"/>
        <w:jc w:val="left"/>
      </w:pPr>
      <w:r>
        <w:t xml:space="preserve">Under a one-factor “common-path” model where both regressors act primarily via </w:t>
      </w:r>
      <m:oMath>
        <m:r>
          <w:rPr>
            <w:rFonts w:ascii="Cambria Math" w:hAnsi="Cambria Math"/>
          </w:rPr>
          <m:t>g</m:t>
        </m:r>
      </m:oMath>
    </w:p>
    <w:p w14:paraId="795B603B" w14:textId="77777777" w:rsidR="00B475A5" w:rsidRDefault="00000000" w:rsidP="00CD630E">
      <w:pPr>
        <w:pStyle w:val="BodyText"/>
        <w:jc w:val="left"/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m:rPr>
                  <m:nor/>
                </m:rPr>
                <m:t>PGS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sup>
          </m:sSubSup>
          <m:r>
            <m:rPr>
              <m:sty m:val="p"/>
            </m:rPr>
            <w:rPr>
              <w:rFonts w:ascii="Cambria Math" w:hAnsi="Cambria Math"/>
            </w:rPr>
            <m:t>≈</m:t>
          </m:r>
          <m:r>
            <w:rPr>
              <w:rFonts w:ascii="Cambria Math" w:hAnsi="Cambria Math"/>
            </w:rPr>
            <m:t>k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m:rPr>
                      <m:nor/>
                    </m:rPr>
                    <m:t>obs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sup>
          </m:sSubSup>
          <m:r>
            <w:rPr>
              <w:rFonts w:ascii="Cambria Math" w:hAnsi="Cambria Math"/>
            </w:rPr>
            <m:t> </m:t>
          </m:r>
          <m:r>
            <m:rPr>
              <m:nor/>
            </m:rPr>
            <m:t xml:space="preserve">for all </m:t>
          </m:r>
          <m:r>
            <w:rPr>
              <w:rFonts w:ascii="Cambria Math" w:hAnsi="Cambria Math"/>
            </w:rPr>
            <m:t>j</m:t>
          </m:r>
          <m:r>
            <m:rPr>
              <m:nor/>
            </m:rPr>
            <m:t>.</m:t>
          </m:r>
        </m:oMath>
      </m:oMathPara>
    </w:p>
    <w:p w14:paraId="4187A0DC" w14:textId="77777777" w:rsidR="00B475A5" w:rsidRDefault="00B475A5" w:rsidP="00CD630E">
      <w:pPr>
        <w:pStyle w:val="Heading2"/>
      </w:pPr>
      <w:bookmarkStart w:id="1" w:name="estimation"/>
      <w:bookmarkEnd w:id="0"/>
      <w:r>
        <w:t>Estimation</w:t>
      </w:r>
    </w:p>
    <w:p w14:paraId="0B32E148" w14:textId="77777777" w:rsidR="00B475A5" w:rsidRDefault="00B475A5" w:rsidP="00CD630E">
      <w:pPr>
        <w:pStyle w:val="FirstParagraph"/>
        <w:jc w:val="left"/>
      </w:pPr>
      <w:r>
        <w:t xml:space="preserve">We estimate </w:t>
      </w:r>
      <m:oMath>
        <m:r>
          <w:rPr>
            <w:rFonts w:ascii="Cambria Math" w:hAnsi="Cambria Math"/>
          </w:rPr>
          <m:t>k</m:t>
        </m:r>
      </m:oMath>
      <w:r>
        <w:t xml:space="preserve"> by Deming regression constrained through the origin to account for sampling error on both axes of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m:rPr>
                <m:nor/>
              </m:rPr>
              <m:t>PGS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bSup>
      </m:oMath>
      <w:r>
        <w:t xml:space="preserve"> on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m:rPr>
                    <m:nor/>
                  </m:rPr>
                  <m:t>obs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bSup>
      </m:oMath>
      <w:r>
        <w:t xml:space="preserve"> using reported standard errors as axis-specific measurement error inputs. We report </w:t>
      </w:r>
      <m:oMath>
        <m:r>
          <w:rPr>
            <w:rFonts w:ascii="Cambria Math" w:hAnsi="Cambria Math"/>
          </w:rPr>
          <m:t>k</m:t>
        </m:r>
      </m:oMath>
      <w:r>
        <w:t xml:space="preserve"> with a Wald 95%CI. In ABCD (20 non-cognitive outcomes), we obtain </w:t>
      </w:r>
      <m:oMath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0.539</m:t>
        </m:r>
      </m:oMath>
      <w:r>
        <w:t xml:space="preserve"> (</w:t>
      </w:r>
      <m:oMath>
        <m:r>
          <m:rPr>
            <m:nor/>
          </m:rPr>
          <m:t>SE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0.028</m:t>
        </m:r>
      </m:oMath>
      <w:r>
        <w:t>).</w:t>
      </w:r>
    </w:p>
    <w:p w14:paraId="39F933F7" w14:textId="77777777" w:rsidR="00B475A5" w:rsidRDefault="00B475A5" w:rsidP="00CD630E">
      <w:pPr>
        <w:pStyle w:val="Heading2"/>
      </w:pPr>
      <w:bookmarkStart w:id="2" w:name="recovering-latent-quantities"/>
      <w:bookmarkEnd w:id="1"/>
      <w:r>
        <w:t>Recovering latent quantities</w:t>
      </w:r>
    </w:p>
    <w:p w14:paraId="284B5609" w14:textId="77777777" w:rsidR="00B475A5" w:rsidRDefault="00B475A5" w:rsidP="00CD630E">
      <w:pPr>
        <w:pStyle w:val="FirstParagraph"/>
        <w:jc w:val="left"/>
      </w:pPr>
      <w:r>
        <w:t>In the same sample, the observed (semi-partial) correlation satisfies</w:t>
      </w:r>
    </w:p>
    <w:p w14:paraId="6D305FCC" w14:textId="77777777" w:rsidR="00B475A5" w:rsidRDefault="00B475A5" w:rsidP="00CD630E">
      <w:pPr>
        <w:pStyle w:val="BodyText"/>
        <w:jc w:val="left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r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m:rPr>
              <m:nor/>
            </m:rPr>
            <m:t>PGS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g</m:t>
              </m:r>
            </m:e>
            <m:sub>
              <m:r>
                <m:rPr>
                  <m:nor/>
                </m:rPr>
                <m:t>obs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)=</m:t>
          </m:r>
          <m:r>
            <w:rPr>
              <w:rFonts w:ascii="Cambria Math" w:hAnsi="Cambria Math"/>
            </w:rPr>
            <m:t>r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m:rPr>
              <m:nor/>
            </m:rPr>
            <m:t>PGS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g</m:t>
          </m:r>
          <m:r>
            <m:rPr>
              <m:sty m:val="p"/>
            </m:rPr>
            <w:rPr>
              <w:rFonts w:ascii="Cambria Math" w:hAnsi="Cambria Math"/>
            </w:rPr>
            <m:t>)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ρ</m:t>
              </m:r>
            </m:e>
          </m:rad>
        </m:oMath>
      </m:oMathPara>
    </w:p>
    <w:p w14:paraId="73D80EB7" w14:textId="1F221714" w:rsidR="00B475A5" w:rsidRDefault="00B475A5" w:rsidP="00CD630E">
      <w:pPr>
        <w:pStyle w:val="FirstParagraph"/>
        <w:jc w:val="left"/>
      </w:pPr>
      <w:r>
        <w:t xml:space="preserve">Combining </w:t>
      </w:r>
      <w:r w:rsidR="00AF5DB7">
        <w:t>equation 1</w:t>
      </w:r>
      <w:r>
        <w:t xml:space="preserve"> and </w:t>
      </w:r>
      <w:r w:rsidR="00AF5DB7">
        <w:t>equation 2</w:t>
      </w:r>
      <w:r>
        <w:t>, we obtain</w:t>
      </w:r>
    </w:p>
    <w:p w14:paraId="42B97B31" w14:textId="77777777" w:rsidR="00B475A5" w:rsidRDefault="00000000" w:rsidP="00CD630E">
      <w:pPr>
        <w:pStyle w:val="BodyText"/>
        <w:jc w:val="left"/>
      </w:pPr>
      <m:oMathPara>
        <m:oMathParaPr>
          <m:jc m:val="center"/>
        </m:oMathParaPr>
        <m:oMath>
          <m:eqArr>
            <m:eqArrPr>
              <m:ctrlPr>
                <w:rPr>
                  <w:rFonts w:ascii="Cambria Math" w:hAnsi="Cambria Math"/>
                </w:rPr>
              </m:ctrlPr>
            </m:eqArrPr>
            <m:e>
              <m:r>
                <w:rPr>
                  <w:rFonts w:ascii="Cambria Math" w:hAnsi="Cambria Math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m:rPr>
                  <m:nor/>
                </m:rPr>
                <m:t>PGS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g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  <m:r>
                <w:rPr>
                  <w:rFonts w:ascii="Cambria Math" w:hAnsi="Cambria Math"/>
                </w:rPr>
                <m:t>&amp;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kr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m:rPr>
                      <m:nor/>
                    </m:rPr>
                    <m:t>PGS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m:rPr>
                          <m:nor/>
                        </m:rPr>
                        <m:t>obs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&amp;ρ&amp;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m:rPr>
                      <m:nor/>
                    </m:rPr>
                    <m:t>PGS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m:rPr>
                          <m:nor/>
                        </m:rPr>
                        <m:t>obs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num>
                <m:den>
                  <m:r>
                    <w:rPr>
                      <w:rFonts w:ascii="Cambria Math" w:hAnsi="Cambria Math"/>
                    </w:rPr>
                    <m:t>k</m:t>
                  </m:r>
                </m:den>
              </m:f>
            </m:e>
          </m:eqArr>
        </m:oMath>
      </m:oMathPara>
    </w:p>
    <w:p w14:paraId="60B7D240" w14:textId="77777777" w:rsidR="00B475A5" w:rsidRDefault="00B475A5" w:rsidP="00CD630E">
      <w:pPr>
        <w:pStyle w:val="FirstParagraph"/>
        <w:jc w:val="left"/>
      </w:pPr>
      <w:r>
        <w:t xml:space="preserve">Uncertainty for these quantities is obtained via the delta method, treating the two inputs as independent. In ABCD, with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(</m:t>
        </m:r>
        <m:r>
          <m:rPr>
            <m:nor/>
          </m:rPr>
          <m:t>PGS</m:t>
        </m:r>
        <m:r>
          <m:rPr>
            <m:sty m:val="p"/>
          </m:rP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m:rPr>
                <m:nor/>
              </m:rPr>
              <m:t>obs</m:t>
            </m:r>
          </m:sub>
        </m:sSub>
        <m:r>
          <m:rPr>
            <m:sty m:val="p"/>
          </m:rPr>
          <w:rPr>
            <w:rFonts w:ascii="Cambria Math" w:hAnsi="Cambria Math"/>
          </w:rPr>
          <m:t>)=</m:t>
        </m:r>
        <m:r>
          <w:rPr>
            <w:rFonts w:ascii="Cambria Math" w:hAnsi="Cambria Math"/>
          </w:rPr>
          <m:t>0.380</m:t>
        </m:r>
      </m:oMath>
      <w:r>
        <w:t xml:space="preserve"> and </w:t>
      </w:r>
      <m:oMath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0.539</m:t>
        </m:r>
      </m:oMath>
      <w:r>
        <w:t xml:space="preserve">, this implies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(</m:t>
        </m:r>
        <m:r>
          <m:rPr>
            <m:nor/>
          </m:rPr>
          <m:t>PGS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)≈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0.539</m:t>
            </m:r>
            <m:r>
              <m:rPr>
                <m:sty m:val="p"/>
              </m:rPr>
              <w:rPr>
                <w:rFonts w:ascii="Cambria Math" w:hAnsi="Cambria Math"/>
              </w:rPr>
              <m:t>⋅</m:t>
            </m:r>
            <m:r>
              <w:rPr>
                <w:rFonts w:ascii="Cambria Math" w:hAnsi="Cambria Math"/>
              </w:rPr>
              <m:t>0.380</m:t>
            </m:r>
          </m:e>
        </m:ra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0.453</m:t>
        </m:r>
      </m:oMath>
      <w:r>
        <w:t xml:space="preserve"> and </w:t>
      </w:r>
      <m:oMath>
        <m:r>
          <w:rPr>
            <w:rFonts w:ascii="Cambria Math" w:hAnsi="Cambria Math"/>
          </w:rPr>
          <m:t>ρ</m:t>
        </m:r>
        <m:r>
          <m:rPr>
            <m:sty m:val="p"/>
          </m:rPr>
          <w:rPr>
            <w:rFonts w:ascii="Cambria Math" w:hAnsi="Cambria Math"/>
          </w:rPr>
          <m:t>≈</m:t>
        </m:r>
        <m:r>
          <w:rPr>
            <w:rFonts w:ascii="Cambria Math" w:hAnsi="Cambria Math"/>
          </w:rPr>
          <m:t>0.380</m:t>
        </m:r>
        <m:r>
          <m:rPr>
            <m:sty m:val="p"/>
          </m:rPr>
          <w:rPr>
            <w:rFonts w:ascii="Cambria Math" w:hAnsi="Cambria Math"/>
          </w:rPr>
          <m:t>/</m:t>
        </m:r>
        <m:r>
          <w:rPr>
            <w:rFonts w:ascii="Cambria Math" w:hAnsi="Cambria Math"/>
          </w:rPr>
          <m:t>0.539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0.705</m:t>
        </m:r>
      </m:oMath>
      <w:r>
        <w:t>.</w:t>
      </w:r>
    </w:p>
    <w:p w14:paraId="0709DE16" w14:textId="77777777" w:rsidR="00B475A5" w:rsidRDefault="00B475A5" w:rsidP="00CD630E">
      <w:pPr>
        <w:pStyle w:val="Heading2"/>
      </w:pPr>
      <w:bookmarkStart w:id="3" w:name="assumptions"/>
      <w:bookmarkEnd w:id="2"/>
      <w:r>
        <w:t>Assumptions</w:t>
      </w:r>
    </w:p>
    <w:p w14:paraId="209996A2" w14:textId="77777777" w:rsidR="00B475A5" w:rsidRDefault="00B475A5" w:rsidP="00CD630E">
      <w:pPr>
        <w:pStyle w:val="FirstParagraph"/>
        <w:jc w:val="left"/>
      </w:pPr>
      <w:r>
        <w:t>The approach assumes (</w:t>
      </w:r>
      <w:proofErr w:type="spellStart"/>
      <w:r>
        <w:t>i</w:t>
      </w:r>
      <w:proofErr w:type="spellEnd"/>
      <w:r>
        <w:t xml:space="preserve">) PGS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m:rPr>
                <m:nor/>
              </m:rPr>
              <m:t>obs</m:t>
            </m:r>
          </m:sub>
        </m:sSub>
      </m:oMath>
      <w:r>
        <w:t xml:space="preserve"> measure the same </w:t>
      </w:r>
      <m:oMath>
        <m:r>
          <w:rPr>
            <w:rFonts w:ascii="Cambria Math" w:hAnsi="Cambria Math"/>
          </w:rPr>
          <m:t>g</m:t>
        </m:r>
      </m:oMath>
      <w:r>
        <w:t xml:space="preserve">; (ii) no large, outcome-specific PGS effects after conditioning on </w:t>
      </w:r>
      <m:oMath>
        <m:r>
          <w:rPr>
            <w:rFonts w:ascii="Cambria Math" w:hAnsi="Cambria Math"/>
          </w:rPr>
          <m:t>g</m:t>
        </m:r>
      </m:oMath>
      <w:r>
        <w:t>; (iii) classical measurement error independent of genotype; and (iv) identical covariate adjustment across models. In line with these assumptions, sensitivity analyses with an unconstrained Deming regression showed an insignificant intercept point estimate close to 0 (</w:t>
      </w:r>
      <m:oMath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0.002</m:t>
        </m:r>
      </m:oMath>
      <w:r>
        <w:t xml:space="preserve">, </w:t>
      </w:r>
      <m:oMath>
        <m:r>
          <m:rPr>
            <m:nor/>
          </m:rPr>
          <m:t>SE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0.005</m:t>
        </m:r>
      </m:oMath>
      <w:r>
        <w:t>).</w:t>
      </w:r>
    </w:p>
    <w:p w14:paraId="3F3497DF" w14:textId="77777777" w:rsidR="00B475A5" w:rsidRDefault="00B475A5" w:rsidP="00CD630E">
      <w:pPr>
        <w:pStyle w:val="Heading2"/>
      </w:pPr>
      <w:bookmarkStart w:id="4" w:name="diagnostic-plot"/>
      <w:bookmarkEnd w:id="3"/>
      <w:r>
        <w:lastRenderedPageBreak/>
        <w:t>Diagnostic plot</w:t>
      </w:r>
    </w:p>
    <w:p w14:paraId="5FB329BD" w14:textId="6AE4D6AE" w:rsidR="00B475A5" w:rsidRDefault="00B475A5" w:rsidP="00CD630E">
      <w:pPr>
        <w:pStyle w:val="FirstParagraph"/>
        <w:jc w:val="left"/>
      </w:pPr>
      <w:r>
        <w:t xml:space="preserve">To visually verify that across outcomes </w:t>
      </w:r>
      <m:oMath>
        <m:r>
          <w:rPr>
            <w:rFonts w:ascii="Cambria Math" w:hAnsi="Cambria Math"/>
          </w:rPr>
          <m:t>j</m:t>
        </m:r>
      </m:oMath>
      <w:r>
        <w:t xml:space="preserve">, PGS associations scale with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m:rPr>
                <m:nor/>
              </m:rPr>
              <m:t>obs</m:t>
            </m:r>
          </m:sub>
        </m:sSub>
      </m:oMath>
      <w:r>
        <w:t xml:space="preserve"> associations as in </w:t>
      </w:r>
      <w:r w:rsidR="00AF5DB7">
        <w:t>equation 1</w:t>
      </w:r>
      <w:r>
        <w:t xml:space="preserve">, i.e. that deviations from pure </w:t>
      </w:r>
      <m:oMath>
        <m:r>
          <w:rPr>
            <w:rFonts w:ascii="Cambria Math" w:hAnsi="Cambria Math"/>
          </w:rPr>
          <m:t>g</m:t>
        </m:r>
      </m:oMath>
      <w:r>
        <w:t xml:space="preserve">-mediation are small, we form a “disattenuated” outcome-wise estimator of the </w:t>
      </w:r>
      <m:oMath>
        <m:r>
          <w:rPr>
            <w:rFonts w:ascii="Cambria Math" w:hAnsi="Cambria Math"/>
          </w:rPr>
          <m:t>g</m:t>
        </m:r>
      </m:oMath>
      <w:r>
        <w:t xml:space="preserve"> effect implied by the PGS:</w:t>
      </w:r>
    </w:p>
    <w:p w14:paraId="77552ECB" w14:textId="77777777" w:rsidR="00B475A5" w:rsidRDefault="00000000" w:rsidP="00CD630E">
      <w:pPr>
        <w:pStyle w:val="BodyText"/>
        <w:jc w:val="left"/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acc>
                <m:accPr>
                  <m:chr m:val="̃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j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m:rPr>
                      <m:nor/>
                    </m:rPr>
                    <m:t>obs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sup>
          </m:sSubSup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m:rPr>
                      <m:nor/>
                    </m:rPr>
                    <m:t>PGS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bSup>
            </m:num>
            <m:den>
              <m:r>
                <w:rPr>
                  <w:rFonts w:ascii="Cambria Math" w:hAnsi="Cambria Math"/>
                </w:rPr>
                <m:t>k</m:t>
              </m:r>
            </m:den>
          </m:f>
        </m:oMath>
      </m:oMathPara>
    </w:p>
    <w:p w14:paraId="19F11A9C" w14:textId="77777777" w:rsidR="00B475A5" w:rsidRDefault="00B475A5" w:rsidP="00CD630E">
      <w:pPr>
        <w:pStyle w:val="FirstParagraph"/>
        <w:jc w:val="left"/>
      </w:pPr>
      <w:r>
        <w:t xml:space="preserve">We then plot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m:rPr>
                    <m:nor/>
                  </m:rPr>
                  <m:t>obs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bSup>
      </m:oMath>
      <w:r>
        <w:t xml:space="preserve"> (</w:t>
      </w:r>
      <m:oMath>
        <m:r>
          <w:rPr>
            <w:rFonts w:ascii="Cambria Math" w:hAnsi="Cambria Math"/>
          </w:rPr>
          <m:t>y</m:t>
        </m:r>
      </m:oMath>
      <w:r>
        <w:t xml:space="preserve">-axis) against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m:rPr>
                    <m:nor/>
                  </m:rPr>
                  <m:t>obs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bSup>
      </m:oMath>
      <w:r>
        <w:t xml:space="preserve"> (</w:t>
      </w:r>
      <m:oMath>
        <m:r>
          <w:rPr>
            <w:rFonts w:ascii="Cambria Math" w:hAnsi="Cambria Math"/>
          </w:rPr>
          <m:t>x</m:t>
        </m:r>
      </m:oMath>
      <w:r>
        <w:t xml:space="preserve">-axis). Standard errors for the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acc>
              <m:accPr>
                <m:chr m:val="̃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β</m:t>
                </m:r>
              </m:e>
            </m:acc>
          </m:e>
          <m:sub>
            <m:r>
              <w:rPr>
                <w:rFonts w:ascii="Cambria Math" w:hAnsi="Cambria Math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m:rPr>
                    <m:nor/>
                  </m:rPr>
                  <m:t>obs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bSup>
      </m:oMath>
      <w:r>
        <w:t xml:space="preserve"> use the delta method.</w:t>
      </w:r>
    </w:p>
    <w:p w14:paraId="519685B3" w14:textId="77777777" w:rsidR="00B475A5" w:rsidRDefault="00B475A5" w:rsidP="00CD630E">
      <w:pPr>
        <w:pStyle w:val="BodyText"/>
        <w:jc w:val="left"/>
      </w:pPr>
      <w:r>
        <w:t xml:space="preserve">Under the null of “no pleiotropy beyond </w:t>
      </w:r>
      <m:oMath>
        <m:r>
          <w:rPr>
            <w:rFonts w:ascii="Cambria Math" w:hAnsi="Cambria Math"/>
          </w:rPr>
          <m:t>g</m:t>
        </m:r>
      </m:oMath>
      <w:r>
        <w:t>” points should lie on the 45° line, which is indeed what we observe (Figure 5B).</w:t>
      </w:r>
    </w:p>
    <w:bookmarkEnd w:id="4"/>
    <w:p w14:paraId="1CD29315" w14:textId="77777777" w:rsidR="00BE210D" w:rsidRDefault="00BE210D" w:rsidP="00CD630E"/>
    <w:sectPr w:rsidR="00BE2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A5"/>
    <w:rsid w:val="00041A10"/>
    <w:rsid w:val="000F192D"/>
    <w:rsid w:val="002671DA"/>
    <w:rsid w:val="00494EEA"/>
    <w:rsid w:val="00542D4B"/>
    <w:rsid w:val="00727AD6"/>
    <w:rsid w:val="007634AC"/>
    <w:rsid w:val="00970AE5"/>
    <w:rsid w:val="00AF5DB7"/>
    <w:rsid w:val="00B475A5"/>
    <w:rsid w:val="00BE210D"/>
    <w:rsid w:val="00CD630E"/>
    <w:rsid w:val="00E6514D"/>
    <w:rsid w:val="00EC5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81768"/>
  <w15:chartTrackingRefBased/>
  <w15:docId w15:val="{BD3227D4-B747-A14D-8EBA-76F16F9A2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75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75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475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5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5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5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5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5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5A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B475A5"/>
    <w:pPr>
      <w:spacing w:before="180" w:after="180" w:line="240" w:lineRule="auto"/>
      <w:jc w:val="both"/>
    </w:pPr>
    <w:rPr>
      <w:rFonts w:eastAsiaTheme="minorEastAsia"/>
      <w:kern w:val="0"/>
      <w:sz w:val="20"/>
      <w:szCs w:val="20"/>
      <w:lang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rsid w:val="00B475A5"/>
    <w:rPr>
      <w:rFonts w:eastAsiaTheme="minorEastAsia"/>
      <w:kern w:val="0"/>
      <w:sz w:val="20"/>
      <w:szCs w:val="20"/>
      <w:lang w:eastAsia="zh-CN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B475A5"/>
  </w:style>
  <w:style w:type="character" w:styleId="Hyperlink">
    <w:name w:val="Hyperlink"/>
    <w:basedOn w:val="DefaultParagraphFont"/>
    <w:rsid w:val="00B475A5"/>
    <w:rPr>
      <w:color w:val="156082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970AE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D</dc:creator>
  <cp:keywords/>
  <dc:description/>
  <cp:lastModifiedBy>Rich Rich</cp:lastModifiedBy>
  <cp:revision>4</cp:revision>
  <dcterms:created xsi:type="dcterms:W3CDTF">2026-02-24T08:46:00Z</dcterms:created>
  <dcterms:modified xsi:type="dcterms:W3CDTF">2026-02-25T16:58:00Z</dcterms:modified>
</cp:coreProperties>
</file>